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AF11" w14:textId="53EC34C0" w:rsidR="00AA017C" w:rsidRPr="00FB0994" w:rsidRDefault="00FB0994" w:rsidP="00FB0994">
      <w:pPr>
        <w:tabs>
          <w:tab w:val="left" w:pos="567"/>
          <w:tab w:val="left" w:pos="1134"/>
          <w:tab w:val="left" w:pos="1701"/>
          <w:tab w:val="left" w:pos="2268"/>
          <w:tab w:val="right" w:pos="9070"/>
        </w:tabs>
        <w:spacing w:line="360" w:lineRule="auto"/>
        <w:jc w:val="center"/>
        <w:rPr>
          <w:rFonts w:asciiTheme="minorHAnsi" w:hAnsiTheme="minorHAnsi" w:cs="Arial"/>
          <w:b/>
          <w:sz w:val="24"/>
          <w:szCs w:val="24"/>
        </w:rPr>
      </w:pPr>
      <w:r w:rsidRPr="00FB0994">
        <w:rPr>
          <w:rFonts w:asciiTheme="minorHAnsi" w:hAnsiTheme="minorHAnsi" w:cs="Arial"/>
          <w:b/>
          <w:sz w:val="24"/>
          <w:szCs w:val="24"/>
        </w:rPr>
        <w:t xml:space="preserve">Minutes of the </w:t>
      </w:r>
      <w:r w:rsidR="00F73263" w:rsidRPr="00FB0994">
        <w:rPr>
          <w:rFonts w:asciiTheme="minorHAnsi" w:hAnsiTheme="minorHAnsi" w:cs="Arial"/>
          <w:b/>
          <w:sz w:val="24"/>
          <w:szCs w:val="24"/>
        </w:rPr>
        <w:t>Obstetrics &amp; Gynaecology and Paediatrics Specialty Training Board</w:t>
      </w:r>
      <w:r w:rsidRPr="00FB0994">
        <w:rPr>
          <w:rFonts w:asciiTheme="minorHAnsi" w:hAnsiTheme="minorHAnsi" w:cs="Arial"/>
          <w:b/>
          <w:sz w:val="24"/>
          <w:szCs w:val="24"/>
        </w:rPr>
        <w:t xml:space="preserve"> meeting held on </w:t>
      </w:r>
      <w:r w:rsidR="00EA0309" w:rsidRPr="00FB0994">
        <w:rPr>
          <w:rFonts w:asciiTheme="minorHAnsi" w:hAnsiTheme="minorHAnsi" w:cs="Arial"/>
          <w:b/>
          <w:sz w:val="24"/>
          <w:szCs w:val="24"/>
        </w:rPr>
        <w:t xml:space="preserve">Thursday </w:t>
      </w:r>
      <w:r w:rsidR="006155C2" w:rsidRPr="00FB0994">
        <w:rPr>
          <w:rFonts w:asciiTheme="minorHAnsi" w:hAnsiTheme="minorHAnsi" w:cs="Arial"/>
          <w:b/>
          <w:sz w:val="24"/>
          <w:szCs w:val="24"/>
        </w:rPr>
        <w:t>31</w:t>
      </w:r>
      <w:r w:rsidR="00070955" w:rsidRPr="00FB0994">
        <w:rPr>
          <w:rFonts w:asciiTheme="minorHAnsi" w:hAnsiTheme="minorHAnsi" w:cs="Arial"/>
          <w:b/>
          <w:sz w:val="24"/>
          <w:szCs w:val="24"/>
        </w:rPr>
        <w:t xml:space="preserve"> </w:t>
      </w:r>
      <w:r w:rsidR="008775A0" w:rsidRPr="00FB0994">
        <w:rPr>
          <w:rFonts w:asciiTheme="minorHAnsi" w:hAnsiTheme="minorHAnsi" w:cs="Arial"/>
          <w:b/>
          <w:sz w:val="24"/>
          <w:szCs w:val="24"/>
        </w:rPr>
        <w:t>August</w:t>
      </w:r>
      <w:r w:rsidR="00BE2224" w:rsidRPr="00FB0994">
        <w:rPr>
          <w:rFonts w:asciiTheme="minorHAnsi" w:hAnsiTheme="minorHAnsi" w:cs="Arial"/>
          <w:b/>
          <w:sz w:val="24"/>
          <w:szCs w:val="24"/>
        </w:rPr>
        <w:t xml:space="preserve"> </w:t>
      </w:r>
      <w:r w:rsidR="001F71F8" w:rsidRPr="00FB0994">
        <w:rPr>
          <w:rFonts w:asciiTheme="minorHAnsi" w:hAnsiTheme="minorHAnsi" w:cs="Arial"/>
          <w:b/>
          <w:sz w:val="24"/>
          <w:szCs w:val="24"/>
        </w:rPr>
        <w:t>20</w:t>
      </w:r>
      <w:r w:rsidR="00D66398" w:rsidRPr="00FB0994">
        <w:rPr>
          <w:rFonts w:asciiTheme="minorHAnsi" w:hAnsiTheme="minorHAnsi" w:cs="Arial"/>
          <w:b/>
          <w:sz w:val="24"/>
          <w:szCs w:val="24"/>
        </w:rPr>
        <w:t>17</w:t>
      </w:r>
      <w:r w:rsidRPr="00FB0994">
        <w:rPr>
          <w:rFonts w:asciiTheme="minorHAnsi" w:hAnsiTheme="minorHAnsi" w:cs="Arial"/>
          <w:b/>
          <w:sz w:val="24"/>
          <w:szCs w:val="24"/>
        </w:rPr>
        <w:t xml:space="preserve"> at 1</w:t>
      </w:r>
      <w:r w:rsidR="00D66398" w:rsidRPr="00FB0994">
        <w:rPr>
          <w:rFonts w:asciiTheme="minorHAnsi" w:hAnsiTheme="minorHAnsi" w:cs="Arial"/>
          <w:b/>
          <w:sz w:val="24"/>
          <w:szCs w:val="24"/>
        </w:rPr>
        <w:t>.30</w:t>
      </w:r>
      <w:r w:rsidR="009E33E8" w:rsidRPr="00FB0994">
        <w:rPr>
          <w:rFonts w:asciiTheme="minorHAnsi" w:hAnsiTheme="minorHAnsi" w:cs="Arial"/>
          <w:b/>
          <w:sz w:val="24"/>
          <w:szCs w:val="24"/>
        </w:rPr>
        <w:t>pm</w:t>
      </w:r>
      <w:r w:rsidRPr="00FB0994">
        <w:rPr>
          <w:rFonts w:asciiTheme="minorHAnsi" w:hAnsiTheme="minorHAnsi" w:cs="Arial"/>
          <w:b/>
          <w:sz w:val="24"/>
          <w:szCs w:val="24"/>
        </w:rPr>
        <w:t xml:space="preserve"> in </w:t>
      </w:r>
      <w:r w:rsidR="008F104C" w:rsidRPr="00FB0994">
        <w:rPr>
          <w:rFonts w:asciiTheme="minorHAnsi" w:hAnsiTheme="minorHAnsi" w:cs="Arial"/>
          <w:b/>
          <w:sz w:val="24"/>
          <w:szCs w:val="24"/>
        </w:rPr>
        <w:t>Room</w:t>
      </w:r>
      <w:r w:rsidR="00455C81" w:rsidRPr="00FB0994">
        <w:rPr>
          <w:rFonts w:asciiTheme="minorHAnsi" w:hAnsiTheme="minorHAnsi" w:cs="Arial"/>
          <w:b/>
          <w:sz w:val="24"/>
          <w:szCs w:val="24"/>
        </w:rPr>
        <w:t xml:space="preserve"> 1</w:t>
      </w:r>
      <w:r w:rsidR="00070955" w:rsidRPr="00FB0994">
        <w:rPr>
          <w:rFonts w:asciiTheme="minorHAnsi" w:hAnsiTheme="minorHAnsi" w:cs="Arial"/>
          <w:b/>
          <w:sz w:val="24"/>
          <w:szCs w:val="24"/>
        </w:rPr>
        <w:t>, Westport, Edinburgh</w:t>
      </w:r>
    </w:p>
    <w:p w14:paraId="76F3E002" w14:textId="77777777" w:rsidR="001F71F8" w:rsidRPr="00766C01" w:rsidRDefault="001F71F8" w:rsidP="000F7CAB">
      <w:pPr>
        <w:tabs>
          <w:tab w:val="left" w:pos="567"/>
          <w:tab w:val="left" w:pos="1701"/>
          <w:tab w:val="left" w:pos="2268"/>
          <w:tab w:val="right" w:pos="9070"/>
        </w:tabs>
        <w:rPr>
          <w:rFonts w:asciiTheme="minorHAnsi" w:hAnsiTheme="minorHAnsi" w:cs="Arial"/>
          <w:b/>
          <w:sz w:val="22"/>
          <w:szCs w:val="22"/>
        </w:rPr>
      </w:pPr>
    </w:p>
    <w:p w14:paraId="641F1C55" w14:textId="2DA38BE3" w:rsidR="00FB0994" w:rsidRDefault="00FB0994" w:rsidP="00580603">
      <w:pPr>
        <w:tabs>
          <w:tab w:val="left" w:pos="567"/>
          <w:tab w:val="left" w:pos="3588"/>
        </w:tabs>
        <w:spacing w:line="360" w:lineRule="auto"/>
        <w:rPr>
          <w:rFonts w:asciiTheme="minorHAnsi" w:hAnsiTheme="minorHAnsi" w:cs="Arial"/>
          <w:sz w:val="22"/>
          <w:szCs w:val="22"/>
        </w:rPr>
      </w:pPr>
      <w:r>
        <w:rPr>
          <w:rFonts w:asciiTheme="minorHAnsi" w:hAnsiTheme="minorHAnsi" w:cs="Arial"/>
          <w:b/>
          <w:sz w:val="22"/>
          <w:szCs w:val="22"/>
        </w:rPr>
        <w:t xml:space="preserve">Present: </w:t>
      </w:r>
      <w:r>
        <w:rPr>
          <w:rFonts w:asciiTheme="minorHAnsi" w:hAnsiTheme="minorHAnsi" w:cs="Arial"/>
          <w:sz w:val="22"/>
          <w:szCs w:val="22"/>
        </w:rPr>
        <w:t>Peter MacDonald (PMD) Chair, Claire Alexander (CA), David Bruce (DB), Alison Graham (AGr), Chris Lilley (CL), Sarah Murray (SM)</w:t>
      </w:r>
    </w:p>
    <w:p w14:paraId="604F1D16" w14:textId="2A625DB1" w:rsidR="00FB0994" w:rsidRDefault="00FB0994" w:rsidP="00580603">
      <w:pPr>
        <w:tabs>
          <w:tab w:val="left" w:pos="567"/>
          <w:tab w:val="left" w:pos="3588"/>
        </w:tabs>
        <w:spacing w:line="360" w:lineRule="auto"/>
        <w:rPr>
          <w:rFonts w:asciiTheme="minorHAnsi" w:hAnsiTheme="minorHAnsi" w:cs="Arial"/>
          <w:sz w:val="22"/>
          <w:szCs w:val="22"/>
        </w:rPr>
      </w:pPr>
      <w:r w:rsidRPr="00D457D7">
        <w:rPr>
          <w:rFonts w:asciiTheme="minorHAnsi" w:hAnsiTheme="minorHAnsi" w:cs="Arial"/>
          <w:b/>
          <w:sz w:val="22"/>
          <w:szCs w:val="22"/>
        </w:rPr>
        <w:t>Apologies</w:t>
      </w:r>
      <w:r>
        <w:rPr>
          <w:rFonts w:asciiTheme="minorHAnsi" w:hAnsiTheme="minorHAnsi" w:cs="Arial"/>
          <w:sz w:val="22"/>
          <w:szCs w:val="22"/>
        </w:rPr>
        <w:t>:</w:t>
      </w:r>
      <w:r w:rsidR="00D457D7">
        <w:rPr>
          <w:rFonts w:asciiTheme="minorHAnsi" w:hAnsiTheme="minorHAnsi" w:cs="Arial"/>
          <w:sz w:val="22"/>
          <w:szCs w:val="22"/>
        </w:rPr>
        <w:t xml:space="preserve"> Ailsa Gebbie (AGe), Ian Hunter (IH), Rowan Parks (RP), Helen Raftapoulos (HR), Hazel Stewart (HS)</w:t>
      </w:r>
    </w:p>
    <w:p w14:paraId="549A66A5" w14:textId="74CFFF6A" w:rsidR="00FB0994" w:rsidRPr="00FB0994" w:rsidRDefault="00FB0994" w:rsidP="00580603">
      <w:pPr>
        <w:tabs>
          <w:tab w:val="left" w:pos="567"/>
          <w:tab w:val="left" w:pos="3588"/>
        </w:tabs>
        <w:spacing w:line="360" w:lineRule="auto"/>
        <w:rPr>
          <w:rFonts w:asciiTheme="minorHAnsi" w:hAnsiTheme="minorHAnsi" w:cs="Arial"/>
          <w:sz w:val="22"/>
          <w:szCs w:val="22"/>
        </w:rPr>
      </w:pPr>
      <w:r w:rsidRPr="00D457D7">
        <w:rPr>
          <w:rFonts w:asciiTheme="minorHAnsi" w:hAnsiTheme="minorHAnsi" w:cs="Arial"/>
          <w:b/>
          <w:sz w:val="22"/>
          <w:szCs w:val="22"/>
        </w:rPr>
        <w:t>In attendance</w:t>
      </w:r>
      <w:r>
        <w:rPr>
          <w:rFonts w:asciiTheme="minorHAnsi" w:hAnsiTheme="minorHAnsi" w:cs="Arial"/>
          <w:sz w:val="22"/>
          <w:szCs w:val="22"/>
        </w:rPr>
        <w:t>: Helen Freeman (HF), Alice Jollands (AJ), Laura Jones (LJ), Graham Leese (GL), Paola Solar</w:t>
      </w:r>
      <w:r w:rsidR="001D29B2">
        <w:rPr>
          <w:rFonts w:asciiTheme="minorHAnsi" w:hAnsiTheme="minorHAnsi" w:cs="Arial"/>
          <w:sz w:val="22"/>
          <w:szCs w:val="22"/>
        </w:rPr>
        <w:t xml:space="preserve"> (PS)</w:t>
      </w:r>
    </w:p>
    <w:p w14:paraId="3BD8D017" w14:textId="77777777" w:rsidR="00FB0994" w:rsidRDefault="00FB0994" w:rsidP="00580603">
      <w:pPr>
        <w:tabs>
          <w:tab w:val="left" w:pos="567"/>
          <w:tab w:val="left" w:pos="3588"/>
        </w:tabs>
        <w:spacing w:line="360" w:lineRule="auto"/>
        <w:rPr>
          <w:rFonts w:asciiTheme="minorHAnsi" w:hAnsiTheme="minorHAnsi" w:cs="Arial"/>
          <w:b/>
          <w:sz w:val="22"/>
          <w:szCs w:val="22"/>
        </w:rPr>
      </w:pPr>
    </w:p>
    <w:p w14:paraId="04E5AF08" w14:textId="188EDD9F" w:rsidR="00D4331F" w:rsidRPr="00766C01" w:rsidRDefault="00580603" w:rsidP="00580603">
      <w:pPr>
        <w:tabs>
          <w:tab w:val="left" w:pos="567"/>
          <w:tab w:val="left" w:pos="3588"/>
        </w:tabs>
        <w:spacing w:line="360" w:lineRule="auto"/>
        <w:rPr>
          <w:rFonts w:asciiTheme="minorHAnsi" w:hAnsiTheme="minorHAnsi" w:cs="Arial"/>
          <w:b/>
          <w:sz w:val="22"/>
          <w:szCs w:val="22"/>
        </w:rPr>
      </w:pPr>
      <w:r>
        <w:rPr>
          <w:rFonts w:asciiTheme="minorHAnsi" w:hAnsiTheme="minorHAnsi" w:cs="Arial"/>
          <w:b/>
          <w:sz w:val="22"/>
          <w:szCs w:val="22"/>
        </w:rPr>
        <w:tab/>
      </w:r>
    </w:p>
    <w:tbl>
      <w:tblPr>
        <w:tblW w:w="9771" w:type="dxa"/>
        <w:tblLook w:val="00A0" w:firstRow="1" w:lastRow="0" w:firstColumn="1" w:lastColumn="0" w:noHBand="0" w:noVBand="0"/>
      </w:tblPr>
      <w:tblGrid>
        <w:gridCol w:w="1134"/>
        <w:gridCol w:w="7513"/>
        <w:gridCol w:w="1124"/>
      </w:tblGrid>
      <w:tr w:rsidR="00FB0994" w:rsidRPr="00766C01" w14:paraId="571FB1BE" w14:textId="77777777" w:rsidTr="00D457D7">
        <w:tc>
          <w:tcPr>
            <w:tcW w:w="1134" w:type="dxa"/>
          </w:tcPr>
          <w:p w14:paraId="7A787495" w14:textId="77777777" w:rsidR="00FB0994" w:rsidRPr="00766C01" w:rsidRDefault="00FB0994" w:rsidP="004B76FB">
            <w:pPr>
              <w:spacing w:after="120"/>
              <w:rPr>
                <w:rFonts w:asciiTheme="minorHAnsi" w:hAnsiTheme="minorHAnsi" w:cs="Arial"/>
                <w:b/>
                <w:sz w:val="22"/>
                <w:szCs w:val="22"/>
              </w:rPr>
            </w:pPr>
            <w:r w:rsidRPr="00766C01">
              <w:rPr>
                <w:rFonts w:asciiTheme="minorHAnsi" w:hAnsiTheme="minorHAnsi" w:cs="Arial"/>
                <w:b/>
                <w:sz w:val="22"/>
                <w:szCs w:val="22"/>
              </w:rPr>
              <w:t>Item</w:t>
            </w:r>
          </w:p>
        </w:tc>
        <w:tc>
          <w:tcPr>
            <w:tcW w:w="7513" w:type="dxa"/>
          </w:tcPr>
          <w:p w14:paraId="7A1D7E8C" w14:textId="77777777" w:rsidR="00FB0994" w:rsidRPr="00766C01" w:rsidRDefault="00FB0994" w:rsidP="004B76FB">
            <w:pPr>
              <w:tabs>
                <w:tab w:val="left" w:pos="567"/>
                <w:tab w:val="left" w:pos="1134"/>
                <w:tab w:val="left" w:pos="1701"/>
                <w:tab w:val="left" w:pos="2268"/>
                <w:tab w:val="right" w:pos="9072"/>
              </w:tabs>
              <w:spacing w:after="120"/>
              <w:rPr>
                <w:rFonts w:asciiTheme="minorHAnsi" w:hAnsiTheme="minorHAnsi" w:cs="Arial"/>
                <w:b/>
                <w:sz w:val="22"/>
                <w:szCs w:val="22"/>
              </w:rPr>
            </w:pPr>
          </w:p>
        </w:tc>
        <w:tc>
          <w:tcPr>
            <w:tcW w:w="1124" w:type="dxa"/>
          </w:tcPr>
          <w:p w14:paraId="2A13DD5B" w14:textId="77777777" w:rsidR="00FB0994" w:rsidRPr="00766C01" w:rsidRDefault="00FB0994"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766C01">
              <w:rPr>
                <w:rFonts w:asciiTheme="minorHAnsi" w:hAnsiTheme="minorHAnsi" w:cs="Arial"/>
                <w:b/>
                <w:sz w:val="22"/>
                <w:szCs w:val="22"/>
              </w:rPr>
              <w:t>Lead</w:t>
            </w:r>
          </w:p>
        </w:tc>
      </w:tr>
      <w:tr w:rsidR="00FB0994" w:rsidRPr="00766C01" w14:paraId="2FFDA4F9" w14:textId="77777777" w:rsidTr="00D457D7">
        <w:tc>
          <w:tcPr>
            <w:tcW w:w="1134" w:type="dxa"/>
          </w:tcPr>
          <w:p w14:paraId="75F29D03" w14:textId="77777777" w:rsidR="00FB0994" w:rsidRPr="00766C01" w:rsidRDefault="00FB0994" w:rsidP="004B76FB">
            <w:pPr>
              <w:numPr>
                <w:ilvl w:val="0"/>
                <w:numId w:val="5"/>
              </w:numPr>
              <w:spacing w:after="120"/>
              <w:rPr>
                <w:rFonts w:asciiTheme="minorHAnsi" w:hAnsiTheme="minorHAnsi" w:cs="Arial"/>
                <w:sz w:val="22"/>
                <w:szCs w:val="22"/>
              </w:rPr>
            </w:pPr>
          </w:p>
        </w:tc>
        <w:tc>
          <w:tcPr>
            <w:tcW w:w="7513" w:type="dxa"/>
          </w:tcPr>
          <w:p w14:paraId="17BDF030" w14:textId="77777777" w:rsidR="00FB0994" w:rsidRDefault="00FB0994"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Welcome and apologies</w:t>
            </w:r>
          </w:p>
          <w:p w14:paraId="6114D32C" w14:textId="77777777" w:rsidR="00D457D7" w:rsidRDefault="00D457D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attendees were welcomed to the meeting and the apologies were noted.</w:t>
            </w:r>
          </w:p>
          <w:p w14:paraId="3F8EEFFC" w14:textId="77777777" w:rsidR="00D457D7" w:rsidRDefault="00D457D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Helen Freeman (HF), Alice Jollands (AJ) and Laura Jones (LJ), Paediatric TPDs, had been invited to attend </w:t>
            </w:r>
            <w:r w:rsidR="001D29B2">
              <w:rPr>
                <w:rFonts w:asciiTheme="minorHAnsi" w:hAnsiTheme="minorHAnsi" w:cs="Arial"/>
                <w:sz w:val="22"/>
                <w:szCs w:val="22"/>
              </w:rPr>
              <w:t xml:space="preserve">Graham Leese (GL) </w:t>
            </w:r>
            <w:r>
              <w:rPr>
                <w:rFonts w:asciiTheme="minorHAnsi" w:hAnsiTheme="minorHAnsi" w:cs="Arial"/>
                <w:sz w:val="22"/>
                <w:szCs w:val="22"/>
              </w:rPr>
              <w:t xml:space="preserve">presentation </w:t>
            </w:r>
            <w:r w:rsidR="001D29B2">
              <w:rPr>
                <w:rFonts w:asciiTheme="minorHAnsi" w:hAnsiTheme="minorHAnsi" w:cs="Arial"/>
                <w:sz w:val="22"/>
                <w:szCs w:val="22"/>
              </w:rPr>
              <w:t>on</w:t>
            </w:r>
            <w:r>
              <w:rPr>
                <w:rFonts w:asciiTheme="minorHAnsi" w:hAnsiTheme="minorHAnsi" w:cs="Arial"/>
                <w:sz w:val="22"/>
                <w:szCs w:val="22"/>
              </w:rPr>
              <w:t xml:space="preserve"> Broad Based Training.</w:t>
            </w:r>
          </w:p>
          <w:p w14:paraId="777E77DE" w14:textId="0BE732A7" w:rsidR="001D29B2" w:rsidRPr="00D457D7" w:rsidRDefault="001D29B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52A21B49" w14:textId="77777777" w:rsidR="00FB0994" w:rsidRPr="00766C01" w:rsidRDefault="00FB0994" w:rsidP="004B76FB">
            <w:pPr>
              <w:tabs>
                <w:tab w:val="left" w:pos="567"/>
                <w:tab w:val="left" w:pos="1134"/>
                <w:tab w:val="left" w:pos="1701"/>
                <w:tab w:val="left" w:pos="2268"/>
                <w:tab w:val="right" w:pos="9072"/>
              </w:tabs>
              <w:spacing w:after="120"/>
              <w:rPr>
                <w:rFonts w:asciiTheme="minorHAnsi" w:hAnsiTheme="minorHAnsi" w:cs="Arial"/>
                <w:b/>
                <w:sz w:val="22"/>
                <w:szCs w:val="22"/>
              </w:rPr>
            </w:pPr>
          </w:p>
        </w:tc>
      </w:tr>
      <w:tr w:rsidR="00D457D7" w:rsidRPr="00766C01" w14:paraId="45CEDFF9" w14:textId="77777777" w:rsidTr="00D457D7">
        <w:tc>
          <w:tcPr>
            <w:tcW w:w="1134" w:type="dxa"/>
          </w:tcPr>
          <w:p w14:paraId="03AE6AA0" w14:textId="77777777" w:rsidR="00D457D7" w:rsidRPr="00766C01" w:rsidRDefault="00D457D7" w:rsidP="004B76FB">
            <w:pPr>
              <w:numPr>
                <w:ilvl w:val="0"/>
                <w:numId w:val="5"/>
              </w:numPr>
              <w:spacing w:after="120"/>
              <w:rPr>
                <w:rFonts w:asciiTheme="minorHAnsi" w:hAnsiTheme="minorHAnsi" w:cs="Arial"/>
                <w:sz w:val="22"/>
                <w:szCs w:val="22"/>
              </w:rPr>
            </w:pPr>
          </w:p>
        </w:tc>
        <w:tc>
          <w:tcPr>
            <w:tcW w:w="7513" w:type="dxa"/>
          </w:tcPr>
          <w:p w14:paraId="36F3A176" w14:textId="77777777" w:rsidR="00D457D7" w:rsidRDefault="00D457D7"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 xml:space="preserve">Broad Based Training </w:t>
            </w:r>
          </w:p>
          <w:p w14:paraId="65837B43" w14:textId="68CFAD2C" w:rsidR="00D457D7" w:rsidRDefault="00E0222A"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Graham Leese, new Associate Dean for Broad Based Training attended the meeting to give a presentation on the new programme.</w:t>
            </w:r>
            <w:r w:rsidR="00123B5B">
              <w:rPr>
                <w:rFonts w:asciiTheme="minorHAnsi" w:hAnsiTheme="minorHAnsi" w:cs="Arial"/>
                <w:sz w:val="22"/>
                <w:szCs w:val="22"/>
              </w:rPr>
              <w:t xml:space="preserve"> The main points were:</w:t>
            </w:r>
          </w:p>
          <w:p w14:paraId="79CE5AC2" w14:textId="77777777" w:rsidR="001D29B2" w:rsidRDefault="00123B5B" w:rsidP="001D29B2">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BBT will start in 2018 in Scotland</w:t>
            </w:r>
            <w:r w:rsidR="00F254C7">
              <w:rPr>
                <w:rFonts w:asciiTheme="minorHAnsi" w:hAnsiTheme="minorHAnsi" w:cs="Arial"/>
                <w:sz w:val="22"/>
                <w:szCs w:val="22"/>
              </w:rPr>
              <w:t xml:space="preserve">. It </w:t>
            </w:r>
            <w:r w:rsidR="00085785">
              <w:rPr>
                <w:rFonts w:asciiTheme="minorHAnsi" w:hAnsiTheme="minorHAnsi" w:cs="Arial"/>
                <w:sz w:val="22"/>
                <w:szCs w:val="22"/>
              </w:rPr>
              <w:t>was introduced</w:t>
            </w:r>
            <w:r w:rsidR="00F254C7">
              <w:rPr>
                <w:rFonts w:asciiTheme="minorHAnsi" w:hAnsiTheme="minorHAnsi" w:cs="Arial"/>
                <w:sz w:val="22"/>
                <w:szCs w:val="22"/>
              </w:rPr>
              <w:t xml:space="preserve"> a year ago in England and Wales.</w:t>
            </w:r>
            <w:r w:rsidR="001D29B2">
              <w:rPr>
                <w:rFonts w:asciiTheme="minorHAnsi" w:hAnsiTheme="minorHAnsi" w:cs="Arial"/>
                <w:sz w:val="22"/>
                <w:szCs w:val="22"/>
              </w:rPr>
              <w:t xml:space="preserve"> </w:t>
            </w:r>
          </w:p>
          <w:p w14:paraId="02336979" w14:textId="3D29457D" w:rsidR="00123B5B" w:rsidRPr="001D29B2" w:rsidRDefault="001D29B2" w:rsidP="001D29B2">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Two years, post-Foundation, with six months each in Paediatrics, Psychiatry, CMT and GP.</w:t>
            </w:r>
          </w:p>
          <w:p w14:paraId="176F9CE6" w14:textId="18E097DA" w:rsidR="00EF7518" w:rsidRDefault="00EF7518" w:rsidP="00123B5B">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Recruitment will start in October 2017, with interviews on February 2018. There will be a GP interview and then a BBT interview. Support from Paediatrics for the interviews will be appreciated.</w:t>
            </w:r>
          </w:p>
          <w:p w14:paraId="74C8ED64" w14:textId="27EF90C6" w:rsidR="00EF7518" w:rsidRDefault="00EF7518" w:rsidP="00123B5B">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There will be 12 posts, 3 each in GGC, Lanarkshire, Tayside and Highlands.</w:t>
            </w:r>
          </w:p>
          <w:p w14:paraId="232B8948" w14:textId="61913842" w:rsidR="00EF7518" w:rsidRDefault="00EF7518" w:rsidP="00123B5B">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During the 6 months, ½ day per week will be spent on one of the other specialties.</w:t>
            </w:r>
          </w:p>
          <w:p w14:paraId="1B2817FE" w14:textId="2C208AAF" w:rsidR="00EF7518" w:rsidRDefault="00EF7518" w:rsidP="00123B5B">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After the two years</w:t>
            </w:r>
            <w:r w:rsidR="001D29B2">
              <w:rPr>
                <w:rFonts w:asciiTheme="minorHAnsi" w:hAnsiTheme="minorHAnsi" w:cs="Arial"/>
                <w:sz w:val="22"/>
                <w:szCs w:val="22"/>
              </w:rPr>
              <w:t>,</w:t>
            </w:r>
            <w:r>
              <w:rPr>
                <w:rFonts w:asciiTheme="minorHAnsi" w:hAnsiTheme="minorHAnsi" w:cs="Arial"/>
                <w:sz w:val="22"/>
                <w:szCs w:val="22"/>
              </w:rPr>
              <w:t xml:space="preserve"> the trainee will have direct entry into </w:t>
            </w:r>
            <w:r w:rsidR="006B60E7">
              <w:rPr>
                <w:rFonts w:asciiTheme="minorHAnsi" w:hAnsiTheme="minorHAnsi" w:cs="Arial"/>
                <w:sz w:val="22"/>
                <w:szCs w:val="22"/>
              </w:rPr>
              <w:t>ST2 level</w:t>
            </w:r>
            <w:r>
              <w:rPr>
                <w:rFonts w:asciiTheme="minorHAnsi" w:hAnsiTheme="minorHAnsi" w:cs="Arial"/>
                <w:sz w:val="22"/>
                <w:szCs w:val="22"/>
              </w:rPr>
              <w:t xml:space="preserve"> of any of the above specialties, with no interview.</w:t>
            </w:r>
            <w:bookmarkStart w:id="0" w:name="_GoBack"/>
            <w:bookmarkEnd w:id="0"/>
          </w:p>
          <w:p w14:paraId="353D54F9" w14:textId="23E95F6A" w:rsidR="006B60E7" w:rsidRDefault="006B60E7" w:rsidP="00123B5B">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Funding for theses posts come from current long</w:t>
            </w:r>
            <w:r w:rsidR="00E633BF">
              <w:rPr>
                <w:rFonts w:asciiTheme="minorHAnsi" w:hAnsiTheme="minorHAnsi" w:cs="Arial"/>
                <w:sz w:val="22"/>
                <w:szCs w:val="22"/>
              </w:rPr>
              <w:t>-</w:t>
            </w:r>
            <w:r>
              <w:rPr>
                <w:rFonts w:asciiTheme="minorHAnsi" w:hAnsiTheme="minorHAnsi" w:cs="Arial"/>
                <w:sz w:val="22"/>
                <w:szCs w:val="22"/>
              </w:rPr>
              <w:t xml:space="preserve">term vacancies, mainly in GP. </w:t>
            </w:r>
          </w:p>
          <w:p w14:paraId="58101F03" w14:textId="23F387C7" w:rsidR="00EF7518" w:rsidRDefault="00EF7518" w:rsidP="00123B5B">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Evidence and feedback from trainees has been very positive. They particularly appreciate spending 10% of their time in other specialty. This time improves their understanding of other specialties, helps them gain confidence, and it promotes better integration. </w:t>
            </w:r>
          </w:p>
          <w:p w14:paraId="50AC9603" w14:textId="77777777" w:rsidR="00EF7518" w:rsidRPr="00EF7518" w:rsidRDefault="00EF7518" w:rsidP="00EF7518">
            <w:pPr>
              <w:tabs>
                <w:tab w:val="left" w:pos="567"/>
                <w:tab w:val="left" w:pos="1134"/>
                <w:tab w:val="left" w:pos="1701"/>
                <w:tab w:val="left" w:pos="2268"/>
                <w:tab w:val="right" w:pos="9072"/>
              </w:tabs>
              <w:spacing w:after="120" w:line="276" w:lineRule="auto"/>
              <w:rPr>
                <w:rFonts w:asciiTheme="minorHAnsi" w:hAnsiTheme="minorHAnsi" w:cs="Arial"/>
                <w:sz w:val="22"/>
                <w:szCs w:val="22"/>
              </w:rPr>
            </w:pPr>
          </w:p>
          <w:p w14:paraId="7D68B902" w14:textId="77777777" w:rsidR="00E0222A" w:rsidRDefault="006B60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lastRenderedPageBreak/>
              <w:t xml:space="preserve">There is a clear list of competencies to be achieved in the Paediatrics segment, Acute Paediatrics being the main block. </w:t>
            </w:r>
          </w:p>
          <w:p w14:paraId="0115F7FF" w14:textId="2EA7BA8B" w:rsidR="006B60E7" w:rsidRDefault="006B60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Trainees need to make a choice during their 3</w:t>
            </w:r>
            <w:r w:rsidRPr="006B60E7">
              <w:rPr>
                <w:rFonts w:asciiTheme="minorHAnsi" w:hAnsiTheme="minorHAnsi" w:cs="Arial"/>
                <w:sz w:val="22"/>
                <w:szCs w:val="22"/>
                <w:vertAlign w:val="superscript"/>
              </w:rPr>
              <w:t>rd</w:t>
            </w:r>
            <w:r>
              <w:rPr>
                <w:rFonts w:asciiTheme="minorHAnsi" w:hAnsiTheme="minorHAnsi" w:cs="Arial"/>
                <w:sz w:val="22"/>
                <w:szCs w:val="22"/>
              </w:rPr>
              <w:t xml:space="preserve"> six-month block. This will allow recruitment teams to reserve posts for ST2 Paediatrics if required. </w:t>
            </w:r>
          </w:p>
          <w:p w14:paraId="43B2DF66" w14:textId="77777777" w:rsidR="006B60E7" w:rsidRDefault="006B60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Trainees will get preference choice if they are in the same region, but will have to go to competitive interview if they decide to change regions for ST2. </w:t>
            </w:r>
          </w:p>
          <w:p w14:paraId="64971298" w14:textId="77777777" w:rsidR="006B60E7" w:rsidRDefault="006B60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If there are College exams required for entry to ST2, there is an expectation that the trainees will have partially completed them at least.</w:t>
            </w:r>
          </w:p>
          <w:p w14:paraId="7735A20A" w14:textId="77777777" w:rsidR="006B60E7" w:rsidRDefault="006B60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It is hoped that there will be a representative from each specialty at ARCP panels.</w:t>
            </w:r>
          </w:p>
          <w:p w14:paraId="06F54965" w14:textId="77777777" w:rsidR="006B60E7" w:rsidRDefault="006B60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Trainees will have a single ES for the two years.</w:t>
            </w:r>
          </w:p>
          <w:p w14:paraId="5C8387F2" w14:textId="77777777" w:rsidR="006B60E7" w:rsidRDefault="006B60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ePortfolio used for BBT is very clear on the competencies required.</w:t>
            </w:r>
          </w:p>
          <w:p w14:paraId="09FC4561" w14:textId="3872F551" w:rsidR="006B60E7" w:rsidRDefault="006B60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If there is no ST2 post available in a particular region this will have to be managed on a case by case basis. Numbers for trainees going to Paediatrics after BBT </w:t>
            </w:r>
            <w:r w:rsidR="001D29B2">
              <w:rPr>
                <w:rFonts w:asciiTheme="minorHAnsi" w:hAnsiTheme="minorHAnsi" w:cs="Arial"/>
                <w:sz w:val="22"/>
                <w:szCs w:val="22"/>
              </w:rPr>
              <w:t>are expected to be</w:t>
            </w:r>
            <w:r>
              <w:rPr>
                <w:rFonts w:asciiTheme="minorHAnsi" w:hAnsiTheme="minorHAnsi" w:cs="Arial"/>
                <w:sz w:val="22"/>
                <w:szCs w:val="22"/>
              </w:rPr>
              <w:t xml:space="preserve"> in the region of 15-20%.</w:t>
            </w:r>
          </w:p>
          <w:p w14:paraId="2D318ED0" w14:textId="06EF0A75" w:rsidR="00EF5822" w:rsidRDefault="00EF582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GL was thanked for his presentation and left the meeting</w:t>
            </w:r>
            <w:r w:rsidR="001D29B2">
              <w:rPr>
                <w:rFonts w:asciiTheme="minorHAnsi" w:hAnsiTheme="minorHAnsi" w:cs="Arial"/>
                <w:sz w:val="22"/>
                <w:szCs w:val="22"/>
              </w:rPr>
              <w:t xml:space="preserve"> as well as the Paediatric TPDs</w:t>
            </w:r>
            <w:r>
              <w:rPr>
                <w:rFonts w:asciiTheme="minorHAnsi" w:hAnsiTheme="minorHAnsi" w:cs="Arial"/>
                <w:sz w:val="22"/>
                <w:szCs w:val="22"/>
              </w:rPr>
              <w:t xml:space="preserve">. </w:t>
            </w:r>
          </w:p>
          <w:p w14:paraId="553D294E" w14:textId="0F6EEAC7" w:rsidR="00EF5822" w:rsidRPr="00D457D7" w:rsidRDefault="00EF582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2666837B" w14:textId="77777777" w:rsidR="00D457D7" w:rsidRPr="00766C01" w:rsidRDefault="00D457D7" w:rsidP="004B76FB">
            <w:pPr>
              <w:tabs>
                <w:tab w:val="left" w:pos="567"/>
                <w:tab w:val="left" w:pos="1134"/>
                <w:tab w:val="left" w:pos="1701"/>
                <w:tab w:val="left" w:pos="2268"/>
                <w:tab w:val="right" w:pos="9072"/>
              </w:tabs>
              <w:spacing w:after="120"/>
              <w:rPr>
                <w:rFonts w:asciiTheme="minorHAnsi" w:hAnsiTheme="minorHAnsi" w:cs="Arial"/>
                <w:b/>
                <w:sz w:val="22"/>
                <w:szCs w:val="22"/>
              </w:rPr>
            </w:pPr>
          </w:p>
        </w:tc>
      </w:tr>
      <w:tr w:rsidR="00FB0994" w:rsidRPr="00766C01" w14:paraId="763501AC" w14:textId="77777777" w:rsidTr="00D457D7">
        <w:tc>
          <w:tcPr>
            <w:tcW w:w="1134" w:type="dxa"/>
          </w:tcPr>
          <w:p w14:paraId="30AEBC0D" w14:textId="77777777" w:rsidR="00FB0994" w:rsidRPr="00766C01" w:rsidRDefault="00FB0994" w:rsidP="004B76FB">
            <w:pPr>
              <w:numPr>
                <w:ilvl w:val="0"/>
                <w:numId w:val="5"/>
              </w:numPr>
              <w:spacing w:after="120"/>
              <w:rPr>
                <w:rFonts w:asciiTheme="minorHAnsi" w:hAnsiTheme="minorHAnsi" w:cs="Arial"/>
                <w:sz w:val="22"/>
                <w:szCs w:val="22"/>
              </w:rPr>
            </w:pPr>
          </w:p>
        </w:tc>
        <w:tc>
          <w:tcPr>
            <w:tcW w:w="7513" w:type="dxa"/>
          </w:tcPr>
          <w:p w14:paraId="05CA7947" w14:textId="77777777" w:rsidR="00FB0994" w:rsidRDefault="00FB0994" w:rsidP="00D66398">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 xml:space="preserve">Minutes of meeting held </w:t>
            </w:r>
            <w:r>
              <w:rPr>
                <w:rFonts w:asciiTheme="minorHAnsi" w:hAnsiTheme="minorHAnsi" w:cs="Arial"/>
                <w:b/>
                <w:sz w:val="22"/>
                <w:szCs w:val="22"/>
              </w:rPr>
              <w:t>on 18 May 2017</w:t>
            </w:r>
          </w:p>
          <w:p w14:paraId="197B296E" w14:textId="77777777" w:rsidR="00EF5822" w:rsidRDefault="00EF5822"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One amendment to note, in page 3, last line, it should read “resuscitation courses” rather than simulation courses.</w:t>
            </w:r>
          </w:p>
          <w:p w14:paraId="3A70FF29" w14:textId="1D487519" w:rsidR="00EF5822" w:rsidRPr="00EF5822" w:rsidRDefault="00EF5822" w:rsidP="00EF582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With the above amendment, the minutes of the last meeting were approved as a correct record.</w:t>
            </w:r>
          </w:p>
        </w:tc>
        <w:tc>
          <w:tcPr>
            <w:tcW w:w="1124" w:type="dxa"/>
          </w:tcPr>
          <w:p w14:paraId="53F4ED00" w14:textId="03122E72" w:rsidR="00FB0994" w:rsidRPr="00AA57F0"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52F06986" w14:textId="77777777" w:rsidTr="00D457D7">
        <w:tc>
          <w:tcPr>
            <w:tcW w:w="1134" w:type="dxa"/>
          </w:tcPr>
          <w:p w14:paraId="6A8E1A2B" w14:textId="77777777" w:rsidR="00FB0994" w:rsidRPr="00AA57F0" w:rsidRDefault="00FB0994" w:rsidP="00A07B0B">
            <w:pPr>
              <w:spacing w:after="120"/>
              <w:ind w:left="360"/>
              <w:rPr>
                <w:rFonts w:asciiTheme="minorHAnsi" w:hAnsiTheme="minorHAnsi" w:cs="Arial"/>
                <w:b/>
                <w:sz w:val="22"/>
                <w:szCs w:val="22"/>
              </w:rPr>
            </w:pPr>
          </w:p>
        </w:tc>
        <w:tc>
          <w:tcPr>
            <w:tcW w:w="7513" w:type="dxa"/>
          </w:tcPr>
          <w:p w14:paraId="688ED908" w14:textId="5ABFF5C9" w:rsidR="00FB0994" w:rsidRPr="00766C01" w:rsidRDefault="00FB0994"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p>
        </w:tc>
        <w:tc>
          <w:tcPr>
            <w:tcW w:w="1124" w:type="dxa"/>
          </w:tcPr>
          <w:p w14:paraId="7E09A448" w14:textId="77777777" w:rsidR="00FB0994" w:rsidRPr="00766C01"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29C8A505" w14:textId="77777777" w:rsidTr="00D457D7">
        <w:tc>
          <w:tcPr>
            <w:tcW w:w="1134" w:type="dxa"/>
          </w:tcPr>
          <w:p w14:paraId="6C0D0DD2" w14:textId="77777777" w:rsidR="00FB0994" w:rsidRPr="00AA57F0" w:rsidRDefault="00FB0994" w:rsidP="004B76FB">
            <w:pPr>
              <w:numPr>
                <w:ilvl w:val="0"/>
                <w:numId w:val="5"/>
              </w:numPr>
              <w:spacing w:after="120"/>
              <w:rPr>
                <w:rFonts w:asciiTheme="minorHAnsi" w:hAnsiTheme="minorHAnsi" w:cs="Arial"/>
                <w:b/>
                <w:sz w:val="22"/>
                <w:szCs w:val="22"/>
              </w:rPr>
            </w:pPr>
          </w:p>
        </w:tc>
        <w:tc>
          <w:tcPr>
            <w:tcW w:w="7513" w:type="dxa"/>
          </w:tcPr>
          <w:p w14:paraId="4BD830D1" w14:textId="77777777" w:rsidR="00FB0994" w:rsidRPr="00766C01" w:rsidRDefault="00FB0994"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Matters Arising /Action points</w:t>
            </w:r>
          </w:p>
        </w:tc>
        <w:tc>
          <w:tcPr>
            <w:tcW w:w="1124" w:type="dxa"/>
          </w:tcPr>
          <w:p w14:paraId="01AB7588" w14:textId="77777777" w:rsidR="00FB0994" w:rsidRPr="00766C01"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30F48874" w14:textId="77777777" w:rsidTr="00D457D7">
        <w:tc>
          <w:tcPr>
            <w:tcW w:w="1134" w:type="dxa"/>
          </w:tcPr>
          <w:p w14:paraId="116F76A8" w14:textId="77777777" w:rsidR="00FB0994" w:rsidRPr="00AA57F0" w:rsidRDefault="00FB0994" w:rsidP="000C23E2">
            <w:pPr>
              <w:numPr>
                <w:ilvl w:val="1"/>
                <w:numId w:val="5"/>
              </w:numPr>
              <w:spacing w:after="120"/>
              <w:rPr>
                <w:rFonts w:asciiTheme="minorHAnsi" w:hAnsiTheme="minorHAnsi" w:cs="Arial"/>
                <w:b/>
                <w:sz w:val="22"/>
                <w:szCs w:val="22"/>
              </w:rPr>
            </w:pPr>
          </w:p>
        </w:tc>
        <w:tc>
          <w:tcPr>
            <w:tcW w:w="7513" w:type="dxa"/>
          </w:tcPr>
          <w:p w14:paraId="529221F7" w14:textId="38D0A897" w:rsidR="00FB0994" w:rsidRDefault="00FB0994" w:rsidP="007C4335">
            <w:pPr>
              <w:tabs>
                <w:tab w:val="left" w:pos="567"/>
                <w:tab w:val="left" w:pos="1134"/>
                <w:tab w:val="left" w:pos="1701"/>
                <w:tab w:val="left" w:pos="2268"/>
                <w:tab w:val="right" w:pos="9072"/>
              </w:tabs>
              <w:spacing w:after="120" w:line="276" w:lineRule="auto"/>
              <w:rPr>
                <w:rFonts w:asciiTheme="minorHAnsi" w:eastAsiaTheme="minorEastAsia" w:hAnsiTheme="minorHAnsi" w:cstheme="minorHAnsi"/>
                <w:sz w:val="22"/>
                <w:szCs w:val="22"/>
              </w:rPr>
            </w:pPr>
            <w:r>
              <w:rPr>
                <w:rFonts w:asciiTheme="minorHAnsi" w:eastAsiaTheme="minorEastAsia" w:hAnsiTheme="minorHAnsi" w:cstheme="minorBidi"/>
                <w:sz w:val="22"/>
                <w:szCs w:val="22"/>
              </w:rPr>
              <w:t xml:space="preserve">Health Boards paying for </w:t>
            </w:r>
            <w:r>
              <w:rPr>
                <w:rFonts w:asciiTheme="minorHAnsi" w:eastAsiaTheme="minorEastAsia" w:hAnsiTheme="minorHAnsi" w:cstheme="minorHAnsi"/>
                <w:sz w:val="22"/>
                <w:szCs w:val="22"/>
              </w:rPr>
              <w:t xml:space="preserve">small part salaries of slot-shares </w:t>
            </w:r>
            <w:r w:rsidR="00EF5822">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update</w:t>
            </w:r>
          </w:p>
          <w:p w14:paraId="778FBC17" w14:textId="77777777" w:rsidR="00EF5822" w:rsidRDefault="00EF5822" w:rsidP="007C4335">
            <w:pPr>
              <w:tabs>
                <w:tab w:val="left" w:pos="567"/>
                <w:tab w:val="left" w:pos="1134"/>
                <w:tab w:val="left" w:pos="1701"/>
                <w:tab w:val="left" w:pos="2268"/>
                <w:tab w:val="right" w:pos="9072"/>
              </w:tabs>
              <w:spacing w:after="120"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There was not much support for the proposal.</w:t>
            </w:r>
          </w:p>
          <w:p w14:paraId="7C27BA3C" w14:textId="478294B5" w:rsidR="00EF5822" w:rsidRDefault="00EF5822" w:rsidP="007C4335">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47FF8740" w14:textId="77777777" w:rsidR="00FB0994"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73BE5DD2" w14:textId="77777777" w:rsidTr="00D457D7">
        <w:tc>
          <w:tcPr>
            <w:tcW w:w="1134" w:type="dxa"/>
          </w:tcPr>
          <w:p w14:paraId="6BE6C879" w14:textId="77777777" w:rsidR="00FB0994" w:rsidRPr="00AA57F0" w:rsidRDefault="00FB0994" w:rsidP="004B76FB">
            <w:pPr>
              <w:numPr>
                <w:ilvl w:val="0"/>
                <w:numId w:val="5"/>
              </w:numPr>
              <w:spacing w:after="120"/>
              <w:rPr>
                <w:rFonts w:asciiTheme="minorHAnsi" w:hAnsiTheme="minorHAnsi" w:cs="Arial"/>
                <w:b/>
                <w:sz w:val="22"/>
                <w:szCs w:val="22"/>
              </w:rPr>
            </w:pPr>
          </w:p>
        </w:tc>
        <w:tc>
          <w:tcPr>
            <w:tcW w:w="7513" w:type="dxa"/>
          </w:tcPr>
          <w:p w14:paraId="23F1EF16" w14:textId="77777777" w:rsidR="00EF5822" w:rsidRDefault="00FB0994"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b/>
                <w:sz w:val="22"/>
                <w:szCs w:val="22"/>
              </w:rPr>
              <w:t xml:space="preserve">Recruitment of LATs by region </w:t>
            </w:r>
          </w:p>
          <w:p w14:paraId="5C9FA64E" w14:textId="5846F240" w:rsidR="00EF5822" w:rsidRDefault="00EF5822"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Both Subgroups were asked to take note of all new LAT appointees in August and check them again at the end of the year to see where they have gone and what ARCP outcomes they have</w:t>
            </w:r>
            <w:r w:rsidR="001D29B2">
              <w:rPr>
                <w:rFonts w:asciiTheme="minorHAnsi" w:hAnsiTheme="minorHAnsi" w:cs="Arial"/>
                <w:sz w:val="22"/>
                <w:szCs w:val="22"/>
              </w:rPr>
              <w:t xml:space="preserve"> received</w:t>
            </w:r>
            <w:r>
              <w:rPr>
                <w:rFonts w:asciiTheme="minorHAnsi" w:hAnsiTheme="minorHAnsi" w:cs="Arial"/>
                <w:sz w:val="22"/>
                <w:szCs w:val="22"/>
              </w:rPr>
              <w:t>.</w:t>
            </w:r>
          </w:p>
          <w:p w14:paraId="0FA5BD6D" w14:textId="1DD056D3" w:rsidR="00FB0994" w:rsidRPr="004A24FD" w:rsidRDefault="00FB0994"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p>
        </w:tc>
        <w:tc>
          <w:tcPr>
            <w:tcW w:w="1124" w:type="dxa"/>
          </w:tcPr>
          <w:p w14:paraId="0B8E836C" w14:textId="77777777" w:rsidR="00FB0994"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6C181A85" w14:textId="39FF79AA" w:rsidR="00EF5822" w:rsidRPr="00EF5822" w:rsidRDefault="00EF5822"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EF5822">
              <w:rPr>
                <w:rFonts w:asciiTheme="minorHAnsi" w:hAnsiTheme="minorHAnsi" w:cs="Arial"/>
                <w:b/>
                <w:sz w:val="22"/>
                <w:szCs w:val="22"/>
              </w:rPr>
              <w:t>CA/CL</w:t>
            </w:r>
          </w:p>
        </w:tc>
      </w:tr>
      <w:tr w:rsidR="00FB0994" w:rsidRPr="00766C01" w14:paraId="0E6EBB14" w14:textId="77777777" w:rsidTr="00D457D7">
        <w:tc>
          <w:tcPr>
            <w:tcW w:w="1134" w:type="dxa"/>
          </w:tcPr>
          <w:p w14:paraId="692224B7" w14:textId="77777777" w:rsidR="00FB0994" w:rsidRPr="00AA57F0" w:rsidRDefault="00FB0994" w:rsidP="004B76FB">
            <w:pPr>
              <w:numPr>
                <w:ilvl w:val="0"/>
                <w:numId w:val="5"/>
              </w:numPr>
              <w:spacing w:after="120"/>
              <w:rPr>
                <w:rFonts w:asciiTheme="minorHAnsi" w:hAnsiTheme="minorHAnsi" w:cs="Arial"/>
                <w:b/>
                <w:sz w:val="22"/>
                <w:szCs w:val="22"/>
              </w:rPr>
            </w:pPr>
          </w:p>
        </w:tc>
        <w:tc>
          <w:tcPr>
            <w:tcW w:w="7513" w:type="dxa"/>
          </w:tcPr>
          <w:p w14:paraId="28B2EF11" w14:textId="77777777" w:rsidR="00FB0994" w:rsidRDefault="00FB0994"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4A24FD">
              <w:rPr>
                <w:rFonts w:asciiTheme="minorHAnsi" w:hAnsiTheme="minorHAnsi" w:cs="Arial"/>
                <w:b/>
                <w:sz w:val="22"/>
                <w:szCs w:val="22"/>
              </w:rPr>
              <w:t>Q</w:t>
            </w:r>
            <w:r>
              <w:rPr>
                <w:rFonts w:asciiTheme="minorHAnsi" w:hAnsiTheme="minorHAnsi" w:cs="Arial"/>
                <w:b/>
                <w:sz w:val="22"/>
                <w:szCs w:val="22"/>
              </w:rPr>
              <w:t>M/QI</w:t>
            </w:r>
          </w:p>
          <w:p w14:paraId="173C525A" w14:textId="77777777" w:rsidR="002C40DE" w:rsidRDefault="002C40DE"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Quality Review Panel will take place next week. They will look at the GMC Survey and STS data already circulated to the members of the STB. Paediatric Cardiology and CSRH have small aggregated data over 3 years. </w:t>
            </w:r>
          </w:p>
          <w:p w14:paraId="5A0E56C6" w14:textId="2846747F" w:rsidR="002C40DE" w:rsidRDefault="002C40DE"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lastRenderedPageBreak/>
              <w:t>O&amp;G have two hospitals with big changes</w:t>
            </w:r>
            <w:r w:rsidR="001D29B2">
              <w:rPr>
                <w:rFonts w:asciiTheme="minorHAnsi" w:hAnsiTheme="minorHAnsi" w:cs="Arial"/>
                <w:sz w:val="22"/>
                <w:szCs w:val="22"/>
              </w:rPr>
              <w:t xml:space="preserve"> and some red flags:</w:t>
            </w:r>
            <w:r>
              <w:rPr>
                <w:rFonts w:asciiTheme="minorHAnsi" w:hAnsiTheme="minorHAnsi" w:cs="Arial"/>
                <w:sz w:val="22"/>
                <w:szCs w:val="22"/>
              </w:rPr>
              <w:t xml:space="preserve"> Ninewells and Dumfries &amp; Galloway. Borders have very good green flags.</w:t>
            </w:r>
          </w:p>
          <w:p w14:paraId="03C74A70" w14:textId="77777777" w:rsidR="002C40DE" w:rsidRDefault="002C40DE"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Paediatrics have Aberdeen Maternity in enhanced monitoring, and Forth Valley is being visited tomorrow. Aberdeen Children’s Hospital has a few pink flags.</w:t>
            </w:r>
          </w:p>
          <w:p w14:paraId="5DE7822E" w14:textId="7D424324" w:rsidR="002C40DE" w:rsidRPr="002C40DE" w:rsidRDefault="002C40DE"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05AB0F18" w14:textId="7FBFA80E" w:rsidR="00FB0994"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264F4E71" w14:textId="77777777" w:rsidTr="00D457D7">
        <w:tc>
          <w:tcPr>
            <w:tcW w:w="1134" w:type="dxa"/>
          </w:tcPr>
          <w:p w14:paraId="490B99F3" w14:textId="77777777" w:rsidR="00FB0994" w:rsidRPr="00AA57F0" w:rsidRDefault="00FB0994" w:rsidP="000B3483">
            <w:pPr>
              <w:numPr>
                <w:ilvl w:val="1"/>
                <w:numId w:val="5"/>
              </w:numPr>
              <w:spacing w:after="120"/>
              <w:rPr>
                <w:rFonts w:asciiTheme="minorHAnsi" w:hAnsiTheme="minorHAnsi" w:cs="Arial"/>
                <w:b/>
                <w:sz w:val="22"/>
                <w:szCs w:val="22"/>
              </w:rPr>
            </w:pPr>
          </w:p>
        </w:tc>
        <w:tc>
          <w:tcPr>
            <w:tcW w:w="7513" w:type="dxa"/>
          </w:tcPr>
          <w:p w14:paraId="3B107CE7" w14:textId="77777777" w:rsidR="002C40DE" w:rsidRDefault="00FB0994" w:rsidP="00AF6A08">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AF6A08">
              <w:rPr>
                <w:rFonts w:asciiTheme="minorHAnsi" w:hAnsiTheme="minorHAnsi" w:cs="Arial"/>
                <w:b/>
                <w:sz w:val="22"/>
                <w:szCs w:val="22"/>
              </w:rPr>
              <w:t xml:space="preserve">GMC Visit </w:t>
            </w:r>
          </w:p>
          <w:p w14:paraId="4B24AAA3" w14:textId="77777777" w:rsidR="00FB0994" w:rsidRDefault="003D68FA" w:rsidP="00AF6A0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Paediatrics is one of the specialties being visited by the GMC during their visit at the end of the year. The GMC will visit the Deanery on the 11 and 12</w:t>
            </w:r>
            <w:r w:rsidRPr="003D68FA">
              <w:rPr>
                <w:rFonts w:asciiTheme="minorHAnsi" w:hAnsiTheme="minorHAnsi" w:cs="Arial"/>
                <w:sz w:val="22"/>
                <w:szCs w:val="22"/>
                <w:vertAlign w:val="superscript"/>
              </w:rPr>
              <w:t>th</w:t>
            </w:r>
            <w:r>
              <w:rPr>
                <w:rFonts w:asciiTheme="minorHAnsi" w:hAnsiTheme="minorHAnsi" w:cs="Arial"/>
                <w:sz w:val="22"/>
                <w:szCs w:val="22"/>
              </w:rPr>
              <w:t xml:space="preserve"> of December. </w:t>
            </w:r>
            <w:r w:rsidR="00FC66C7">
              <w:rPr>
                <w:rFonts w:asciiTheme="minorHAnsi" w:hAnsiTheme="minorHAnsi" w:cs="Arial"/>
                <w:sz w:val="22"/>
                <w:szCs w:val="22"/>
              </w:rPr>
              <w:t>STB Chairs, relevant Associate Deans and TPDs will meet with the GMC on Monday 11</w:t>
            </w:r>
            <w:r w:rsidR="00FC66C7" w:rsidRPr="00FC66C7">
              <w:rPr>
                <w:rFonts w:asciiTheme="minorHAnsi" w:hAnsiTheme="minorHAnsi" w:cs="Arial"/>
                <w:sz w:val="22"/>
                <w:szCs w:val="22"/>
                <w:vertAlign w:val="superscript"/>
              </w:rPr>
              <w:t>th</w:t>
            </w:r>
            <w:r w:rsidR="00FC66C7">
              <w:rPr>
                <w:rFonts w:asciiTheme="minorHAnsi" w:hAnsiTheme="minorHAnsi" w:cs="Arial"/>
                <w:sz w:val="22"/>
                <w:szCs w:val="22"/>
              </w:rPr>
              <w:t xml:space="preserve"> December. </w:t>
            </w:r>
          </w:p>
          <w:p w14:paraId="60EA81F4" w14:textId="77777777" w:rsidR="00FC66C7" w:rsidRDefault="00FC66C7" w:rsidP="00AF6A0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Orientation sessions will be held for TPDs. </w:t>
            </w:r>
          </w:p>
          <w:p w14:paraId="5D1DD525" w14:textId="166FFA85" w:rsidR="00FC66C7" w:rsidRPr="00AF6A08" w:rsidRDefault="00FC66C7" w:rsidP="00AF6A08">
            <w:pPr>
              <w:tabs>
                <w:tab w:val="left" w:pos="567"/>
                <w:tab w:val="left" w:pos="1134"/>
                <w:tab w:val="left" w:pos="1701"/>
                <w:tab w:val="left" w:pos="2268"/>
                <w:tab w:val="right" w:pos="9072"/>
              </w:tabs>
              <w:spacing w:after="120" w:line="276" w:lineRule="auto"/>
              <w:rPr>
                <w:rFonts w:asciiTheme="minorHAnsi" w:hAnsiTheme="minorHAnsi" w:cs="Arial"/>
                <w:b/>
                <w:sz w:val="22"/>
                <w:szCs w:val="22"/>
              </w:rPr>
            </w:pPr>
          </w:p>
        </w:tc>
        <w:tc>
          <w:tcPr>
            <w:tcW w:w="1124" w:type="dxa"/>
          </w:tcPr>
          <w:p w14:paraId="3A5D3F39" w14:textId="769F1E83" w:rsidR="00FB0994"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3F340D02" w14:textId="77777777" w:rsidTr="00D457D7">
        <w:tc>
          <w:tcPr>
            <w:tcW w:w="1134" w:type="dxa"/>
          </w:tcPr>
          <w:p w14:paraId="4B810BA2" w14:textId="77777777" w:rsidR="00FB0994" w:rsidRPr="00AA57F0" w:rsidRDefault="00FB0994" w:rsidP="004B76FB">
            <w:pPr>
              <w:numPr>
                <w:ilvl w:val="0"/>
                <w:numId w:val="5"/>
              </w:numPr>
              <w:spacing w:after="120"/>
              <w:rPr>
                <w:rFonts w:asciiTheme="minorHAnsi" w:hAnsiTheme="minorHAnsi" w:cs="Arial"/>
                <w:b/>
                <w:sz w:val="22"/>
                <w:szCs w:val="22"/>
              </w:rPr>
            </w:pPr>
          </w:p>
        </w:tc>
        <w:tc>
          <w:tcPr>
            <w:tcW w:w="7513" w:type="dxa"/>
          </w:tcPr>
          <w:p w14:paraId="4AD78398" w14:textId="77777777" w:rsidR="00FB0994" w:rsidRDefault="00FB0994" w:rsidP="007C4335">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 xml:space="preserve">Maternity &amp; Neonatal Services Review </w:t>
            </w:r>
          </w:p>
          <w:p w14:paraId="2F3B2174" w14:textId="67D69750" w:rsidR="00FC66C7" w:rsidRDefault="00960AFB" w:rsidP="007C4335">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This was noted to make the Board aware of the ongoing work related to the review.</w:t>
            </w:r>
          </w:p>
          <w:p w14:paraId="2E996C88" w14:textId="77777777" w:rsidR="00960AFB" w:rsidRDefault="00960AFB" w:rsidP="007C4335">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AGr noted that the national review group was not fully established yet. </w:t>
            </w:r>
          </w:p>
          <w:p w14:paraId="3B31084D" w14:textId="77777777" w:rsidR="00960AFB" w:rsidRDefault="00960AFB" w:rsidP="007C4335">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Any increase in the number of neonatal consultants needs to be made 3-5 years in advance and communicated to this Board. </w:t>
            </w:r>
          </w:p>
          <w:p w14:paraId="704139D6" w14:textId="77777777" w:rsidR="00960AFB" w:rsidRDefault="00960AFB" w:rsidP="007C4335">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AGr will keep the Board informed of developments.</w:t>
            </w:r>
          </w:p>
          <w:p w14:paraId="30A823BD" w14:textId="5076950F" w:rsidR="00960AFB" w:rsidRPr="00FC66C7" w:rsidRDefault="00960AFB" w:rsidP="007C4335">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062471F2" w14:textId="77777777" w:rsidR="00FB0994"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79A583F8" w14:textId="77777777" w:rsidTr="00D457D7">
        <w:tc>
          <w:tcPr>
            <w:tcW w:w="1134" w:type="dxa"/>
          </w:tcPr>
          <w:p w14:paraId="4AE3D321" w14:textId="77777777" w:rsidR="00FB0994" w:rsidRPr="00AA57F0" w:rsidRDefault="00FB0994" w:rsidP="004B76FB">
            <w:pPr>
              <w:numPr>
                <w:ilvl w:val="0"/>
                <w:numId w:val="5"/>
              </w:numPr>
              <w:spacing w:after="120"/>
              <w:rPr>
                <w:rFonts w:asciiTheme="minorHAnsi" w:hAnsiTheme="minorHAnsi" w:cs="Arial"/>
                <w:b/>
                <w:sz w:val="22"/>
                <w:szCs w:val="22"/>
              </w:rPr>
            </w:pPr>
          </w:p>
        </w:tc>
        <w:tc>
          <w:tcPr>
            <w:tcW w:w="7513" w:type="dxa"/>
          </w:tcPr>
          <w:p w14:paraId="7AA377A1" w14:textId="77777777" w:rsidR="00FB0994" w:rsidRDefault="00FB0994"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Update from MDET / LDD</w:t>
            </w:r>
          </w:p>
          <w:p w14:paraId="59B2413F" w14:textId="77777777" w:rsidR="00960AFB" w:rsidRDefault="00D7166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DB informed the Board of the following:</w:t>
            </w:r>
          </w:p>
          <w:p w14:paraId="695D0EBF" w14:textId="66178618" w:rsidR="00D71662" w:rsidRDefault="00D71662" w:rsidP="00D71662">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GMC has informed NES that Paediatric Cardiology is now off enhanced monitoring. It will now be part of the </w:t>
            </w:r>
            <w:r w:rsidR="001D29B2">
              <w:rPr>
                <w:rFonts w:asciiTheme="minorHAnsi" w:hAnsiTheme="minorHAnsi" w:cs="Arial"/>
                <w:sz w:val="22"/>
                <w:szCs w:val="22"/>
              </w:rPr>
              <w:t>standard</w:t>
            </w:r>
            <w:r>
              <w:rPr>
                <w:rFonts w:asciiTheme="minorHAnsi" w:hAnsiTheme="minorHAnsi" w:cs="Arial"/>
                <w:sz w:val="22"/>
                <w:szCs w:val="22"/>
              </w:rPr>
              <w:t xml:space="preserve"> QM process.</w:t>
            </w:r>
          </w:p>
          <w:p w14:paraId="3710053E" w14:textId="77777777" w:rsidR="00D71662" w:rsidRDefault="00D71662" w:rsidP="00D71662">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Work is ongoing standardising the DiD process.</w:t>
            </w:r>
          </w:p>
          <w:p w14:paraId="760F539A" w14:textId="77777777" w:rsidR="00D71662" w:rsidRDefault="00D71662" w:rsidP="00D71662">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Scottish Government has asked NES whether Child Protection Training should be made mandatory. A response has been sent to SG.</w:t>
            </w:r>
          </w:p>
          <w:p w14:paraId="6D8112D5" w14:textId="77777777" w:rsidR="00D71662" w:rsidRDefault="00D71662" w:rsidP="00D71662">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Scottish Government has published the National Health and Social Care Workforce Plan. NES will have a wider role in workforce planning.</w:t>
            </w:r>
          </w:p>
          <w:p w14:paraId="0AC0568F" w14:textId="77777777" w:rsidR="00D71662" w:rsidRDefault="00D71662" w:rsidP="00D71662">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TIQME work on differential attainment continues.</w:t>
            </w:r>
          </w:p>
          <w:p w14:paraId="54B23653" w14:textId="77777777" w:rsidR="00D71662" w:rsidRDefault="00D71662" w:rsidP="00D71662">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NES Annual Quality report has been circulated.</w:t>
            </w:r>
          </w:p>
          <w:p w14:paraId="212764D1" w14:textId="6FF2E7C4" w:rsidR="00D71662" w:rsidRPr="00D71662" w:rsidRDefault="00D71662" w:rsidP="00D71662">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p>
        </w:tc>
        <w:tc>
          <w:tcPr>
            <w:tcW w:w="1124" w:type="dxa"/>
          </w:tcPr>
          <w:p w14:paraId="4050DFC6" w14:textId="51628A7D" w:rsidR="00FB0994" w:rsidRPr="00766C01"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73FA25C6" w14:textId="77777777" w:rsidTr="00D457D7">
        <w:tc>
          <w:tcPr>
            <w:tcW w:w="1134" w:type="dxa"/>
          </w:tcPr>
          <w:p w14:paraId="5DC4C783" w14:textId="77777777" w:rsidR="00FB0994" w:rsidRPr="00AA57F0" w:rsidRDefault="00FB0994" w:rsidP="004B76FB">
            <w:pPr>
              <w:numPr>
                <w:ilvl w:val="0"/>
                <w:numId w:val="5"/>
              </w:numPr>
              <w:spacing w:after="120"/>
              <w:rPr>
                <w:rFonts w:asciiTheme="minorHAnsi" w:hAnsiTheme="minorHAnsi" w:cs="Arial"/>
                <w:b/>
                <w:sz w:val="22"/>
                <w:szCs w:val="22"/>
              </w:rPr>
            </w:pPr>
          </w:p>
        </w:tc>
        <w:tc>
          <w:tcPr>
            <w:tcW w:w="7513" w:type="dxa"/>
          </w:tcPr>
          <w:p w14:paraId="55BDBEEA" w14:textId="77777777" w:rsidR="00FB0994" w:rsidRDefault="00FB0994"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Liaison Medical Director</w:t>
            </w:r>
          </w:p>
          <w:p w14:paraId="5C459051" w14:textId="77777777" w:rsidR="00D71662" w:rsidRDefault="00D7166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Nothing further to report.</w:t>
            </w:r>
          </w:p>
          <w:p w14:paraId="6126E7B2" w14:textId="64E91132" w:rsidR="00D71662" w:rsidRPr="00D71662" w:rsidRDefault="00D7166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31F736B2" w14:textId="4C67C3D6" w:rsidR="00FB0994"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51833E0B" w14:textId="77777777" w:rsidTr="00D457D7">
        <w:tc>
          <w:tcPr>
            <w:tcW w:w="1134" w:type="dxa"/>
          </w:tcPr>
          <w:p w14:paraId="5E881856" w14:textId="77777777" w:rsidR="00FB0994" w:rsidRPr="00AA57F0" w:rsidRDefault="00FB0994" w:rsidP="004B76FB">
            <w:pPr>
              <w:numPr>
                <w:ilvl w:val="0"/>
                <w:numId w:val="5"/>
              </w:numPr>
              <w:spacing w:after="120"/>
              <w:rPr>
                <w:rFonts w:asciiTheme="minorHAnsi" w:hAnsiTheme="minorHAnsi" w:cs="Arial"/>
                <w:b/>
                <w:sz w:val="22"/>
                <w:szCs w:val="22"/>
              </w:rPr>
            </w:pPr>
          </w:p>
        </w:tc>
        <w:tc>
          <w:tcPr>
            <w:tcW w:w="7513" w:type="dxa"/>
          </w:tcPr>
          <w:p w14:paraId="67E32D26" w14:textId="77777777" w:rsidR="00FB0994" w:rsidRDefault="00FB0994"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Report from CSRH</w:t>
            </w:r>
          </w:p>
          <w:p w14:paraId="041F7C40" w14:textId="77777777" w:rsidR="00D71662" w:rsidRPr="00D71662" w:rsidRDefault="00D7166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D71662">
              <w:rPr>
                <w:rFonts w:asciiTheme="minorHAnsi" w:hAnsiTheme="minorHAnsi" w:cs="Arial"/>
                <w:sz w:val="22"/>
                <w:szCs w:val="22"/>
              </w:rPr>
              <w:t>No representative.</w:t>
            </w:r>
          </w:p>
          <w:p w14:paraId="261A7B61" w14:textId="430724E7" w:rsidR="00D71662" w:rsidRPr="00DF2946" w:rsidRDefault="00D71662"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p>
        </w:tc>
        <w:tc>
          <w:tcPr>
            <w:tcW w:w="1124" w:type="dxa"/>
          </w:tcPr>
          <w:p w14:paraId="3BD0BA2E" w14:textId="43D0CE32" w:rsidR="00FB0994" w:rsidRPr="00766C01"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754085A5" w14:textId="77777777" w:rsidTr="00D457D7">
        <w:tc>
          <w:tcPr>
            <w:tcW w:w="1134" w:type="dxa"/>
          </w:tcPr>
          <w:p w14:paraId="32F002D7" w14:textId="77777777" w:rsidR="00FB0994" w:rsidRPr="00AA57F0" w:rsidRDefault="00FB0994" w:rsidP="004B76FB">
            <w:pPr>
              <w:numPr>
                <w:ilvl w:val="0"/>
                <w:numId w:val="5"/>
              </w:numPr>
              <w:spacing w:after="120"/>
              <w:rPr>
                <w:rFonts w:asciiTheme="minorHAnsi" w:hAnsiTheme="minorHAnsi" w:cs="Arial"/>
                <w:b/>
                <w:sz w:val="22"/>
                <w:szCs w:val="22"/>
              </w:rPr>
            </w:pPr>
          </w:p>
        </w:tc>
        <w:tc>
          <w:tcPr>
            <w:tcW w:w="7513" w:type="dxa"/>
          </w:tcPr>
          <w:p w14:paraId="4195E2D4" w14:textId="77777777" w:rsidR="00FB0994" w:rsidRDefault="00FB0994"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Paediatric Cardiology</w:t>
            </w:r>
          </w:p>
          <w:p w14:paraId="6914E723" w14:textId="743FEAF6" w:rsidR="00D71662" w:rsidRPr="00D71662" w:rsidRDefault="00D7166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D71662">
              <w:rPr>
                <w:rFonts w:asciiTheme="minorHAnsi" w:hAnsiTheme="minorHAnsi" w:cs="Arial"/>
                <w:sz w:val="22"/>
                <w:szCs w:val="22"/>
              </w:rPr>
              <w:t xml:space="preserve">No representative. </w:t>
            </w:r>
          </w:p>
          <w:p w14:paraId="3CA9B996" w14:textId="257179F5" w:rsidR="00D71662" w:rsidRPr="00DF2946" w:rsidRDefault="00D71662"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p>
        </w:tc>
        <w:tc>
          <w:tcPr>
            <w:tcW w:w="1124" w:type="dxa"/>
          </w:tcPr>
          <w:p w14:paraId="2CE200AC" w14:textId="3C832BC1" w:rsidR="00FB0994"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43C0AB4C" w14:textId="77777777" w:rsidTr="00D457D7">
        <w:tc>
          <w:tcPr>
            <w:tcW w:w="1134" w:type="dxa"/>
          </w:tcPr>
          <w:p w14:paraId="47540FDD" w14:textId="77777777" w:rsidR="00FB0994" w:rsidRPr="00AA57F0" w:rsidRDefault="00FB0994" w:rsidP="004B76FB">
            <w:pPr>
              <w:numPr>
                <w:ilvl w:val="0"/>
                <w:numId w:val="5"/>
              </w:numPr>
              <w:spacing w:after="120"/>
              <w:rPr>
                <w:rFonts w:asciiTheme="minorHAnsi" w:hAnsiTheme="minorHAnsi" w:cs="Arial"/>
                <w:b/>
                <w:sz w:val="22"/>
                <w:szCs w:val="22"/>
              </w:rPr>
            </w:pPr>
          </w:p>
        </w:tc>
        <w:tc>
          <w:tcPr>
            <w:tcW w:w="7513" w:type="dxa"/>
          </w:tcPr>
          <w:p w14:paraId="7EF1741D" w14:textId="77777777" w:rsidR="00FB0994" w:rsidRPr="00DF2946" w:rsidRDefault="00FB0994"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Report from Obs &amp; Gynae Subgroup</w:t>
            </w:r>
          </w:p>
        </w:tc>
        <w:tc>
          <w:tcPr>
            <w:tcW w:w="1124" w:type="dxa"/>
          </w:tcPr>
          <w:p w14:paraId="7B59EC06" w14:textId="77777777" w:rsidR="00FB0994" w:rsidRPr="00766C01"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03590A57" w14:textId="77777777" w:rsidTr="00D457D7">
        <w:tc>
          <w:tcPr>
            <w:tcW w:w="1134" w:type="dxa"/>
          </w:tcPr>
          <w:p w14:paraId="51786C08" w14:textId="77777777" w:rsidR="00FB0994" w:rsidRPr="00AA57F0" w:rsidRDefault="00FB0994" w:rsidP="00AA57F0">
            <w:pPr>
              <w:numPr>
                <w:ilvl w:val="1"/>
                <w:numId w:val="5"/>
              </w:numPr>
              <w:spacing w:after="120"/>
              <w:rPr>
                <w:rFonts w:asciiTheme="minorHAnsi" w:hAnsiTheme="minorHAnsi" w:cs="Arial"/>
                <w:b/>
                <w:sz w:val="22"/>
                <w:szCs w:val="22"/>
              </w:rPr>
            </w:pPr>
          </w:p>
        </w:tc>
        <w:tc>
          <w:tcPr>
            <w:tcW w:w="7513" w:type="dxa"/>
          </w:tcPr>
          <w:p w14:paraId="6BF690B3" w14:textId="77777777" w:rsidR="00FB0994" w:rsidRDefault="00FB0994"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DF2946">
              <w:rPr>
                <w:rFonts w:asciiTheme="minorHAnsi" w:hAnsiTheme="minorHAnsi" w:cs="Arial"/>
                <w:sz w:val="22"/>
                <w:szCs w:val="22"/>
              </w:rPr>
              <w:t>Issues raised by Subgroup</w:t>
            </w:r>
          </w:p>
          <w:p w14:paraId="3B4B425E" w14:textId="77777777" w:rsidR="00D71662" w:rsidRDefault="00BF455C" w:rsidP="007E13DF">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Recruitment – the Subgroup discussed LAT </w:t>
            </w:r>
            <w:r w:rsidR="00A77849">
              <w:rPr>
                <w:rFonts w:asciiTheme="minorHAnsi" w:hAnsiTheme="minorHAnsi" w:cs="Arial"/>
                <w:sz w:val="22"/>
                <w:szCs w:val="22"/>
              </w:rPr>
              <w:t xml:space="preserve">and </w:t>
            </w:r>
            <w:r>
              <w:rPr>
                <w:rFonts w:asciiTheme="minorHAnsi" w:hAnsiTheme="minorHAnsi" w:cs="Arial"/>
                <w:sz w:val="22"/>
                <w:szCs w:val="22"/>
              </w:rPr>
              <w:t xml:space="preserve">ST3 recruitment and agreed to continue </w:t>
            </w:r>
            <w:r w:rsidR="00A77849">
              <w:rPr>
                <w:rFonts w:asciiTheme="minorHAnsi" w:hAnsiTheme="minorHAnsi" w:cs="Arial"/>
                <w:sz w:val="22"/>
                <w:szCs w:val="22"/>
              </w:rPr>
              <w:t>doing it next year.</w:t>
            </w:r>
          </w:p>
          <w:p w14:paraId="3E29C3E0" w14:textId="3248FA70" w:rsidR="00A77849" w:rsidRDefault="00A77849" w:rsidP="00A77849">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ATSM in Laparoscopic surgery – only available in two units in Scotland. They have tried to make it more widely available but there have been no applicants. SM </w:t>
            </w:r>
            <w:r w:rsidR="00273E97">
              <w:rPr>
                <w:rFonts w:asciiTheme="minorHAnsi" w:hAnsiTheme="minorHAnsi" w:cs="Arial"/>
                <w:sz w:val="22"/>
                <w:szCs w:val="22"/>
              </w:rPr>
              <w:t>is going to</w:t>
            </w:r>
            <w:r>
              <w:rPr>
                <w:rFonts w:asciiTheme="minorHAnsi" w:hAnsiTheme="minorHAnsi" w:cs="Arial"/>
                <w:sz w:val="22"/>
                <w:szCs w:val="22"/>
              </w:rPr>
              <w:t xml:space="preserve"> survey trainees to find out why they did not apply. Training Leads have requested that it is be treated as a subspecialty, but the College has not </w:t>
            </w:r>
            <w:r w:rsidR="00273E97">
              <w:rPr>
                <w:rFonts w:asciiTheme="minorHAnsi" w:hAnsiTheme="minorHAnsi" w:cs="Arial"/>
                <w:sz w:val="22"/>
                <w:szCs w:val="22"/>
              </w:rPr>
              <w:t>supported this</w:t>
            </w:r>
            <w:r>
              <w:rPr>
                <w:rFonts w:asciiTheme="minorHAnsi" w:hAnsiTheme="minorHAnsi" w:cs="Arial"/>
                <w:sz w:val="22"/>
                <w:szCs w:val="22"/>
              </w:rPr>
              <w:t xml:space="preserve">. </w:t>
            </w:r>
          </w:p>
          <w:p w14:paraId="258DC27B" w14:textId="19A3DB89" w:rsidR="00A77849" w:rsidRDefault="00A77849" w:rsidP="00A77849">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Trainees TEF – SM gave a presentation about the data collected. Very similar results to the GMC survey. They will look at good practice areas to copy them to other units.</w:t>
            </w:r>
          </w:p>
          <w:p w14:paraId="06F912C9" w14:textId="4A6AA261" w:rsidR="00A77849" w:rsidRDefault="00A77849" w:rsidP="00A77849">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Permission for OOPs – there are concerns that this is being applied inconsistently across the regions.</w:t>
            </w:r>
          </w:p>
          <w:p w14:paraId="2749BF36" w14:textId="05DA3820" w:rsidR="00A77849" w:rsidRDefault="00A77849" w:rsidP="007E13DF">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O&amp;G Subspecialties – a paper for M</w:t>
            </w:r>
            <w:r w:rsidR="00A50549">
              <w:rPr>
                <w:rFonts w:asciiTheme="minorHAnsi" w:hAnsiTheme="minorHAnsi" w:cs="Arial"/>
                <w:sz w:val="22"/>
                <w:szCs w:val="22"/>
              </w:rPr>
              <w:t>DET is being drafted.</w:t>
            </w:r>
            <w:r>
              <w:rPr>
                <w:rFonts w:asciiTheme="minorHAnsi" w:hAnsiTheme="minorHAnsi" w:cs="Arial"/>
                <w:sz w:val="22"/>
                <w:szCs w:val="22"/>
              </w:rPr>
              <w:t xml:space="preserve"> It is felt that the current requirements </w:t>
            </w:r>
            <w:r w:rsidR="00A50549">
              <w:rPr>
                <w:rFonts w:asciiTheme="minorHAnsi" w:hAnsiTheme="minorHAnsi" w:cs="Arial"/>
                <w:sz w:val="22"/>
                <w:szCs w:val="22"/>
              </w:rPr>
              <w:t xml:space="preserve">for application </w:t>
            </w:r>
            <w:r>
              <w:rPr>
                <w:rFonts w:asciiTheme="minorHAnsi" w:hAnsiTheme="minorHAnsi" w:cs="Arial"/>
                <w:sz w:val="22"/>
                <w:szCs w:val="22"/>
              </w:rPr>
              <w:t>narrow opportunities for trainees. The interim position from MDET was to increase flexibility</w:t>
            </w:r>
            <w:r w:rsidR="00A50549">
              <w:rPr>
                <w:rFonts w:asciiTheme="minorHAnsi" w:hAnsiTheme="minorHAnsi" w:cs="Arial"/>
                <w:sz w:val="22"/>
                <w:szCs w:val="22"/>
              </w:rPr>
              <w:t xml:space="preserve"> of application to O&amp;G subspecialty</w:t>
            </w:r>
            <w:r>
              <w:rPr>
                <w:rFonts w:asciiTheme="minorHAnsi" w:hAnsiTheme="minorHAnsi" w:cs="Arial"/>
                <w:sz w:val="22"/>
                <w:szCs w:val="22"/>
              </w:rPr>
              <w:t xml:space="preserve">. Trainees need a point of seniority and an array of competencies before they can apply for subspecialty training. They have to be in ST6 to do it, but can apply from ST5. If they go in later than that they may need to extend their training time. The proposal is to use ST1 salaries in that case as the trainee is still in programme. </w:t>
            </w:r>
          </w:p>
          <w:p w14:paraId="13D55E8D" w14:textId="6AA19AD1" w:rsidR="00A77849" w:rsidRPr="007E13DF" w:rsidRDefault="00A77849" w:rsidP="00A77849">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p>
        </w:tc>
        <w:tc>
          <w:tcPr>
            <w:tcW w:w="1124" w:type="dxa"/>
          </w:tcPr>
          <w:p w14:paraId="3A8B0C06" w14:textId="0F3271EB" w:rsidR="00FB0994" w:rsidRPr="00766C01"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798EE3B6" w14:textId="77777777" w:rsidTr="00D457D7">
        <w:tc>
          <w:tcPr>
            <w:tcW w:w="1134" w:type="dxa"/>
          </w:tcPr>
          <w:p w14:paraId="09EE5C03" w14:textId="77777777" w:rsidR="00FB0994" w:rsidRPr="00AA57F0" w:rsidRDefault="00FB0994" w:rsidP="00AA57F0">
            <w:pPr>
              <w:numPr>
                <w:ilvl w:val="1"/>
                <w:numId w:val="5"/>
              </w:numPr>
              <w:spacing w:after="120"/>
              <w:rPr>
                <w:rFonts w:asciiTheme="minorHAnsi" w:hAnsiTheme="minorHAnsi" w:cs="Arial"/>
                <w:b/>
                <w:sz w:val="22"/>
                <w:szCs w:val="22"/>
              </w:rPr>
            </w:pPr>
          </w:p>
        </w:tc>
        <w:tc>
          <w:tcPr>
            <w:tcW w:w="7513" w:type="dxa"/>
          </w:tcPr>
          <w:p w14:paraId="567A8545" w14:textId="77777777" w:rsidR="00FB0994" w:rsidRDefault="00FB0994" w:rsidP="003F02D2">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r w:rsidRPr="00DF2946">
              <w:rPr>
                <w:rFonts w:asciiTheme="minorHAnsi" w:hAnsiTheme="minorHAnsi" w:cs="Arial"/>
                <w:sz w:val="22"/>
                <w:szCs w:val="22"/>
              </w:rPr>
              <w:t xml:space="preserve">Issues raised by Trainees </w:t>
            </w:r>
          </w:p>
          <w:p w14:paraId="5C42D40F" w14:textId="77777777" w:rsidR="007E13DF" w:rsidRDefault="00C0163A" w:rsidP="003F02D2">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r>
              <w:rPr>
                <w:rFonts w:asciiTheme="minorHAnsi" w:hAnsiTheme="minorHAnsi" w:cs="Arial"/>
                <w:sz w:val="22"/>
                <w:szCs w:val="22"/>
              </w:rPr>
              <w:t>As above</w:t>
            </w:r>
          </w:p>
          <w:p w14:paraId="184C9F9B" w14:textId="53B4DB03" w:rsidR="00C0163A" w:rsidRPr="00DF2946" w:rsidRDefault="00C0163A" w:rsidP="003F02D2">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p>
        </w:tc>
        <w:tc>
          <w:tcPr>
            <w:tcW w:w="1124" w:type="dxa"/>
          </w:tcPr>
          <w:p w14:paraId="1533A6B3" w14:textId="1D48FFF1" w:rsidR="00FB0994" w:rsidRPr="00766C01"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55FD3488" w14:textId="77777777" w:rsidTr="00D457D7">
        <w:tc>
          <w:tcPr>
            <w:tcW w:w="1134" w:type="dxa"/>
          </w:tcPr>
          <w:p w14:paraId="79C2B047" w14:textId="77777777" w:rsidR="00FB0994" w:rsidRPr="00AA57F0" w:rsidRDefault="00FB0994" w:rsidP="004B76FB">
            <w:pPr>
              <w:numPr>
                <w:ilvl w:val="0"/>
                <w:numId w:val="5"/>
              </w:numPr>
              <w:spacing w:after="120"/>
              <w:rPr>
                <w:rFonts w:asciiTheme="minorHAnsi" w:hAnsiTheme="minorHAnsi" w:cs="Arial"/>
                <w:b/>
                <w:sz w:val="22"/>
                <w:szCs w:val="22"/>
              </w:rPr>
            </w:pPr>
          </w:p>
        </w:tc>
        <w:tc>
          <w:tcPr>
            <w:tcW w:w="7513" w:type="dxa"/>
          </w:tcPr>
          <w:p w14:paraId="3CF19B0A" w14:textId="77777777" w:rsidR="00FB0994" w:rsidRPr="00DF2946" w:rsidRDefault="00FB0994"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Report from Paediatrics Subgroup</w:t>
            </w:r>
          </w:p>
        </w:tc>
        <w:tc>
          <w:tcPr>
            <w:tcW w:w="1124" w:type="dxa"/>
          </w:tcPr>
          <w:p w14:paraId="6DE3C4AE" w14:textId="77777777" w:rsidR="00FB0994" w:rsidRPr="00766C01" w:rsidRDefault="00FB0994"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0BD8B8DE" w14:textId="77777777" w:rsidTr="00D457D7">
        <w:tc>
          <w:tcPr>
            <w:tcW w:w="1134" w:type="dxa"/>
          </w:tcPr>
          <w:p w14:paraId="6DD51FD8" w14:textId="77777777" w:rsidR="00FB0994" w:rsidRPr="00AA57F0" w:rsidRDefault="00FB0994" w:rsidP="00AA57F0">
            <w:pPr>
              <w:numPr>
                <w:ilvl w:val="1"/>
                <w:numId w:val="5"/>
              </w:numPr>
              <w:spacing w:after="120"/>
              <w:rPr>
                <w:rFonts w:asciiTheme="minorHAnsi" w:hAnsiTheme="minorHAnsi" w:cs="Arial"/>
                <w:b/>
                <w:sz w:val="22"/>
                <w:szCs w:val="22"/>
              </w:rPr>
            </w:pPr>
          </w:p>
        </w:tc>
        <w:tc>
          <w:tcPr>
            <w:tcW w:w="7513" w:type="dxa"/>
          </w:tcPr>
          <w:p w14:paraId="598F49F5" w14:textId="77777777" w:rsidR="00FB0994" w:rsidRDefault="00FB0994"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DF2946">
              <w:rPr>
                <w:rFonts w:asciiTheme="minorHAnsi" w:hAnsiTheme="minorHAnsi" w:cs="Arial"/>
                <w:sz w:val="22"/>
                <w:szCs w:val="22"/>
              </w:rPr>
              <w:t>Issues raised by Subgroup</w:t>
            </w:r>
          </w:p>
          <w:p w14:paraId="1FBA8869" w14:textId="0C06515A" w:rsidR="00C0163A" w:rsidRDefault="000309EA" w:rsidP="00C0163A">
            <w:pPr>
              <w:pStyle w:val="ListParagraph"/>
              <w:numPr>
                <w:ilvl w:val="0"/>
                <w:numId w:val="20"/>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Study Leave – the group discussed what is mandatory or not and what to ring-fence. TPDs are getting the view from the subspecialty leads</w:t>
            </w:r>
            <w:r w:rsidR="00A50549">
              <w:rPr>
                <w:rFonts w:asciiTheme="minorHAnsi" w:hAnsiTheme="minorHAnsi" w:cs="Arial"/>
                <w:sz w:val="22"/>
                <w:szCs w:val="22"/>
              </w:rPr>
              <w:t xml:space="preserve"> for Grid and Spin</w:t>
            </w:r>
            <w:r>
              <w:rPr>
                <w:rFonts w:asciiTheme="minorHAnsi" w:hAnsiTheme="minorHAnsi" w:cs="Arial"/>
                <w:sz w:val="22"/>
                <w:szCs w:val="22"/>
              </w:rPr>
              <w:t xml:space="preserve">. Seeing overall spending on Turas </w:t>
            </w:r>
            <w:r w:rsidR="00A50549">
              <w:rPr>
                <w:rFonts w:asciiTheme="minorHAnsi" w:hAnsiTheme="minorHAnsi" w:cs="Arial"/>
                <w:sz w:val="22"/>
                <w:szCs w:val="22"/>
              </w:rPr>
              <w:t>Study L</w:t>
            </w:r>
            <w:r>
              <w:rPr>
                <w:rFonts w:asciiTheme="minorHAnsi" w:hAnsiTheme="minorHAnsi" w:cs="Arial"/>
                <w:sz w:val="22"/>
                <w:szCs w:val="22"/>
              </w:rPr>
              <w:t>eave is not easy. PMD will take this to MDET.</w:t>
            </w:r>
          </w:p>
          <w:p w14:paraId="255B1F0D" w14:textId="7E659400" w:rsidR="000309EA" w:rsidRDefault="000309EA" w:rsidP="00C0163A">
            <w:pPr>
              <w:pStyle w:val="ListParagraph"/>
              <w:numPr>
                <w:ilvl w:val="0"/>
                <w:numId w:val="20"/>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Quality – </w:t>
            </w:r>
            <w:r w:rsidR="00A50549">
              <w:rPr>
                <w:rFonts w:asciiTheme="minorHAnsi" w:hAnsiTheme="minorHAnsi" w:cs="Arial"/>
                <w:sz w:val="22"/>
                <w:szCs w:val="22"/>
              </w:rPr>
              <w:t>the subgroup</w:t>
            </w:r>
            <w:r>
              <w:rPr>
                <w:rFonts w:asciiTheme="minorHAnsi" w:hAnsiTheme="minorHAnsi" w:cs="Arial"/>
                <w:sz w:val="22"/>
                <w:szCs w:val="22"/>
              </w:rPr>
              <w:t xml:space="preserve"> have received the GMC and STS surveys, together with TPD reports. It was suggested that trainees may need feedback on how all these surveys are used to improve the quality of their training. </w:t>
            </w:r>
          </w:p>
          <w:p w14:paraId="016C2891" w14:textId="4BD52DB2" w:rsidR="000309EA" w:rsidRDefault="000309EA" w:rsidP="00C0163A">
            <w:pPr>
              <w:pStyle w:val="ListParagraph"/>
              <w:numPr>
                <w:ilvl w:val="0"/>
                <w:numId w:val="20"/>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New ARCP process – has been </w:t>
            </w:r>
            <w:r w:rsidR="004F3E2E">
              <w:rPr>
                <w:rFonts w:asciiTheme="minorHAnsi" w:hAnsiTheme="minorHAnsi" w:cs="Arial"/>
                <w:sz w:val="22"/>
                <w:szCs w:val="22"/>
              </w:rPr>
              <w:t xml:space="preserve">implemented in all regions. The group compared outcome data results </w:t>
            </w:r>
            <w:r w:rsidR="00A50549">
              <w:rPr>
                <w:rFonts w:asciiTheme="minorHAnsi" w:hAnsiTheme="minorHAnsi" w:cs="Arial"/>
                <w:sz w:val="22"/>
                <w:szCs w:val="22"/>
              </w:rPr>
              <w:t xml:space="preserve">from various years </w:t>
            </w:r>
            <w:r w:rsidR="004F3E2E">
              <w:rPr>
                <w:rFonts w:asciiTheme="minorHAnsi" w:hAnsiTheme="minorHAnsi" w:cs="Arial"/>
                <w:sz w:val="22"/>
                <w:szCs w:val="22"/>
              </w:rPr>
              <w:t xml:space="preserve">and noted there was a lot </w:t>
            </w:r>
            <w:r w:rsidR="004F3E2E">
              <w:rPr>
                <w:rFonts w:asciiTheme="minorHAnsi" w:hAnsiTheme="minorHAnsi" w:cs="Arial"/>
                <w:sz w:val="22"/>
                <w:szCs w:val="22"/>
              </w:rPr>
              <w:lastRenderedPageBreak/>
              <w:t>of variability a few years ago, but outcomes are much more consistent across regions now. There were a lot of outcome 5s this year but most of them were converted to outcome 1s. It is hoped that n</w:t>
            </w:r>
            <w:r w:rsidR="007F502A">
              <w:rPr>
                <w:rFonts w:asciiTheme="minorHAnsi" w:hAnsiTheme="minorHAnsi" w:cs="Arial"/>
                <w:sz w:val="22"/>
                <w:szCs w:val="22"/>
              </w:rPr>
              <w:t>ext year the number of outcome 5s</w:t>
            </w:r>
            <w:r w:rsidR="004F3E2E">
              <w:rPr>
                <w:rFonts w:asciiTheme="minorHAnsi" w:hAnsiTheme="minorHAnsi" w:cs="Arial"/>
                <w:sz w:val="22"/>
                <w:szCs w:val="22"/>
              </w:rPr>
              <w:t xml:space="preserve"> will </w:t>
            </w:r>
            <w:r w:rsidR="007F502A">
              <w:rPr>
                <w:rFonts w:asciiTheme="minorHAnsi" w:hAnsiTheme="minorHAnsi" w:cs="Arial"/>
                <w:sz w:val="22"/>
                <w:szCs w:val="22"/>
              </w:rPr>
              <w:t>decrease</w:t>
            </w:r>
            <w:r w:rsidR="004F3E2E">
              <w:rPr>
                <w:rFonts w:asciiTheme="minorHAnsi" w:hAnsiTheme="minorHAnsi" w:cs="Arial"/>
                <w:sz w:val="22"/>
                <w:szCs w:val="22"/>
              </w:rPr>
              <w:t xml:space="preserve"> </w:t>
            </w:r>
            <w:r w:rsidR="007F502A">
              <w:rPr>
                <w:rFonts w:asciiTheme="minorHAnsi" w:hAnsiTheme="minorHAnsi" w:cs="Arial"/>
                <w:sz w:val="22"/>
                <w:szCs w:val="22"/>
              </w:rPr>
              <w:t>as</w:t>
            </w:r>
            <w:r w:rsidR="004F3E2E">
              <w:rPr>
                <w:rFonts w:asciiTheme="minorHAnsi" w:hAnsiTheme="minorHAnsi" w:cs="Arial"/>
                <w:sz w:val="22"/>
                <w:szCs w:val="22"/>
              </w:rPr>
              <w:t xml:space="preserve"> trainees and trainers </w:t>
            </w:r>
            <w:r w:rsidR="007F502A">
              <w:rPr>
                <w:rFonts w:asciiTheme="minorHAnsi" w:hAnsiTheme="minorHAnsi" w:cs="Arial"/>
                <w:sz w:val="22"/>
                <w:szCs w:val="22"/>
              </w:rPr>
              <w:t>will be</w:t>
            </w:r>
            <w:r w:rsidR="004F3E2E">
              <w:rPr>
                <w:rFonts w:asciiTheme="minorHAnsi" w:hAnsiTheme="minorHAnsi" w:cs="Arial"/>
                <w:sz w:val="22"/>
                <w:szCs w:val="22"/>
              </w:rPr>
              <w:t xml:space="preserve"> more aware of new ARCP deadlines. </w:t>
            </w:r>
          </w:p>
          <w:p w14:paraId="52771E8E" w14:textId="30EB808A" w:rsidR="004F3E2E" w:rsidRDefault="004F3E2E" w:rsidP="00C0163A">
            <w:pPr>
              <w:pStyle w:val="ListParagraph"/>
              <w:numPr>
                <w:ilvl w:val="0"/>
                <w:numId w:val="20"/>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A new RCPCH workforce report indicates that there will be a 84-110 shortfall of Paediatric consultants for future provision. AGr noted that the Service have signed up the “Facing the Future” document but she was not certain that they were fully aware of the implications of the document. This may have to be taken to SAMD. PMD will add to the MDET report.</w:t>
            </w:r>
          </w:p>
          <w:p w14:paraId="7055E89A" w14:textId="77777777" w:rsidR="004F3E2E" w:rsidRDefault="004F3E2E" w:rsidP="00C0163A">
            <w:pPr>
              <w:pStyle w:val="ListParagraph"/>
              <w:numPr>
                <w:ilvl w:val="0"/>
                <w:numId w:val="20"/>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Grid – workforce planning for subspecialties. The Service has not provided the figures for consultants required in Scotland so the group is working on the basis of the data provided two years ago.</w:t>
            </w:r>
          </w:p>
          <w:p w14:paraId="24338487" w14:textId="6C4363BB" w:rsidR="004F3E2E" w:rsidRPr="004F3E2E" w:rsidRDefault="004F3E2E" w:rsidP="004F3E2E">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4F3E2E">
              <w:rPr>
                <w:rFonts w:asciiTheme="minorHAnsi" w:hAnsiTheme="minorHAnsi" w:cs="Arial"/>
                <w:sz w:val="22"/>
                <w:szCs w:val="22"/>
              </w:rPr>
              <w:t xml:space="preserve"> </w:t>
            </w:r>
          </w:p>
        </w:tc>
        <w:tc>
          <w:tcPr>
            <w:tcW w:w="1124" w:type="dxa"/>
          </w:tcPr>
          <w:p w14:paraId="4B155132" w14:textId="148F838A" w:rsidR="00FB0994" w:rsidRPr="00766C01" w:rsidRDefault="00FB0994" w:rsidP="001F71F8">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5CAEBC16" w14:textId="77777777" w:rsidTr="00D457D7">
        <w:tc>
          <w:tcPr>
            <w:tcW w:w="1134" w:type="dxa"/>
          </w:tcPr>
          <w:p w14:paraId="1438DDFD" w14:textId="77777777" w:rsidR="00FB0994" w:rsidRPr="00AA57F0" w:rsidRDefault="00FB0994" w:rsidP="00AA57F0">
            <w:pPr>
              <w:numPr>
                <w:ilvl w:val="1"/>
                <w:numId w:val="5"/>
              </w:numPr>
              <w:spacing w:after="120"/>
              <w:rPr>
                <w:rFonts w:asciiTheme="minorHAnsi" w:hAnsiTheme="minorHAnsi" w:cs="Arial"/>
                <w:b/>
                <w:sz w:val="22"/>
                <w:szCs w:val="22"/>
              </w:rPr>
            </w:pPr>
          </w:p>
        </w:tc>
        <w:tc>
          <w:tcPr>
            <w:tcW w:w="7513" w:type="dxa"/>
          </w:tcPr>
          <w:p w14:paraId="3D8BBF50" w14:textId="54AFC24A" w:rsidR="00FB0994" w:rsidRDefault="00FB0994"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Issues raised by Trainees </w:t>
            </w:r>
          </w:p>
          <w:p w14:paraId="75BD8073" w14:textId="2B364815" w:rsidR="004F3E2E" w:rsidRDefault="004F3E2E"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PAFTAs are the Paediatric Awards for trainees in the UK. TPDs have been asked to nominate Scottish trainees. O&amp;G also had a trainee of the year award but had very few applicants, possibly because they had to self-nominate. Now they have a Trainer of the year.</w:t>
            </w:r>
          </w:p>
          <w:p w14:paraId="64A8F55F" w14:textId="3E96E2E8" w:rsidR="007E13DF" w:rsidRPr="00AA57F0" w:rsidRDefault="007E13DF"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0A6841BE" w14:textId="60B60771" w:rsidR="00FB0994" w:rsidRPr="00766C01" w:rsidRDefault="00FB0994" w:rsidP="001F71F8">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5CA5B840" w14:textId="77777777" w:rsidTr="00D457D7">
        <w:tc>
          <w:tcPr>
            <w:tcW w:w="1134" w:type="dxa"/>
          </w:tcPr>
          <w:p w14:paraId="36727C52" w14:textId="77777777" w:rsidR="00FB0994" w:rsidRDefault="00FB0994" w:rsidP="00AA57F0">
            <w:pPr>
              <w:numPr>
                <w:ilvl w:val="0"/>
                <w:numId w:val="5"/>
              </w:numPr>
              <w:spacing w:after="120"/>
              <w:rPr>
                <w:rFonts w:asciiTheme="minorHAnsi" w:hAnsiTheme="minorHAnsi" w:cs="Arial"/>
                <w:b/>
                <w:sz w:val="22"/>
                <w:szCs w:val="22"/>
              </w:rPr>
            </w:pPr>
          </w:p>
        </w:tc>
        <w:tc>
          <w:tcPr>
            <w:tcW w:w="7513" w:type="dxa"/>
          </w:tcPr>
          <w:p w14:paraId="611837F2" w14:textId="0F5E9122" w:rsidR="007E13DF" w:rsidRPr="00E44586" w:rsidRDefault="00FB0994" w:rsidP="007E13DF">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b/>
                <w:sz w:val="22"/>
                <w:szCs w:val="22"/>
              </w:rPr>
              <w:t>AOCB</w:t>
            </w:r>
          </w:p>
        </w:tc>
        <w:tc>
          <w:tcPr>
            <w:tcW w:w="1124" w:type="dxa"/>
          </w:tcPr>
          <w:p w14:paraId="6BA2B925" w14:textId="77777777" w:rsidR="00FB0994" w:rsidRDefault="00FB0994"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7E13DF" w:rsidRPr="00766C01" w14:paraId="174E0975" w14:textId="77777777" w:rsidTr="00D457D7">
        <w:tc>
          <w:tcPr>
            <w:tcW w:w="1134" w:type="dxa"/>
          </w:tcPr>
          <w:p w14:paraId="1E6F71A3" w14:textId="77777777" w:rsidR="007E13DF" w:rsidRDefault="007E13DF" w:rsidP="007E13DF">
            <w:pPr>
              <w:numPr>
                <w:ilvl w:val="1"/>
                <w:numId w:val="5"/>
              </w:numPr>
              <w:spacing w:after="120"/>
              <w:rPr>
                <w:rFonts w:asciiTheme="minorHAnsi" w:hAnsiTheme="minorHAnsi" w:cs="Arial"/>
                <w:b/>
                <w:sz w:val="22"/>
                <w:szCs w:val="22"/>
              </w:rPr>
            </w:pPr>
          </w:p>
        </w:tc>
        <w:tc>
          <w:tcPr>
            <w:tcW w:w="7513" w:type="dxa"/>
          </w:tcPr>
          <w:p w14:paraId="08D82A17" w14:textId="77777777" w:rsidR="007E13DF" w:rsidRPr="007E13DF" w:rsidRDefault="007E13DF" w:rsidP="007E13DF">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E13DF">
              <w:rPr>
                <w:rFonts w:asciiTheme="minorHAnsi" w:hAnsiTheme="minorHAnsi" w:cs="Arial"/>
                <w:sz w:val="22"/>
                <w:szCs w:val="22"/>
              </w:rPr>
              <w:t>Future model of STBs</w:t>
            </w:r>
          </w:p>
          <w:p w14:paraId="62B2C0DD" w14:textId="22984741" w:rsidR="007E13DF" w:rsidRDefault="007E13DF" w:rsidP="007E13DF">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PMD proposed a new </w:t>
            </w:r>
            <w:r w:rsidR="004F3E2E">
              <w:rPr>
                <w:rFonts w:asciiTheme="minorHAnsi" w:hAnsiTheme="minorHAnsi" w:cs="Arial"/>
                <w:sz w:val="22"/>
                <w:szCs w:val="22"/>
              </w:rPr>
              <w:t xml:space="preserve">model for the O&amp;G and Paediatrics STB, as </w:t>
            </w:r>
            <w:r w:rsidR="007F502A">
              <w:rPr>
                <w:rFonts w:asciiTheme="minorHAnsi" w:hAnsiTheme="minorHAnsi" w:cs="Arial"/>
                <w:sz w:val="22"/>
                <w:szCs w:val="22"/>
              </w:rPr>
              <w:t xml:space="preserve">it was felt that </w:t>
            </w:r>
            <w:r w:rsidR="004F3E2E">
              <w:rPr>
                <w:rFonts w:asciiTheme="minorHAnsi" w:hAnsiTheme="minorHAnsi" w:cs="Arial"/>
                <w:sz w:val="22"/>
                <w:szCs w:val="22"/>
              </w:rPr>
              <w:t xml:space="preserve">the current model is not fit for purpose. The Chair and LDD for example are expected to be at both Subgroups in the morning, so they always miss </w:t>
            </w:r>
            <w:r w:rsidR="007F502A">
              <w:rPr>
                <w:rFonts w:asciiTheme="minorHAnsi" w:hAnsiTheme="minorHAnsi" w:cs="Arial"/>
                <w:sz w:val="22"/>
                <w:szCs w:val="22"/>
              </w:rPr>
              <w:t>part of the meetings</w:t>
            </w:r>
            <w:r w:rsidR="00BD4B00">
              <w:rPr>
                <w:rFonts w:asciiTheme="minorHAnsi" w:hAnsiTheme="minorHAnsi" w:cs="Arial"/>
                <w:sz w:val="22"/>
                <w:szCs w:val="22"/>
              </w:rPr>
              <w:t xml:space="preserve">. Also, attendance to the afternoon meeting is very limited as it is a re-visit of what was discussed in the morning. </w:t>
            </w:r>
          </w:p>
          <w:p w14:paraId="4F7EF688" w14:textId="09524538" w:rsidR="007E13DF" w:rsidRDefault="00BD4B00" w:rsidP="00BD4B00">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new model would have a full meeting of each subgroup, on the same day, one in the morning, one if the afternoon. The Subgroups can alternate the am and pm meetings. They will start the pm meeting with a quick </w:t>
            </w:r>
            <w:r w:rsidR="007F502A">
              <w:rPr>
                <w:rFonts w:asciiTheme="minorHAnsi" w:hAnsiTheme="minorHAnsi" w:cs="Arial"/>
                <w:sz w:val="22"/>
                <w:szCs w:val="22"/>
              </w:rPr>
              <w:t>summary</w:t>
            </w:r>
            <w:r>
              <w:rPr>
                <w:rFonts w:asciiTheme="minorHAnsi" w:hAnsiTheme="minorHAnsi" w:cs="Arial"/>
                <w:sz w:val="22"/>
                <w:szCs w:val="22"/>
              </w:rPr>
              <w:t xml:space="preserve"> of relevant issues discussed in the morning. The agendas will be drafted to accommodate representation from MD and DME, for example having the last part of the morning and the beginning of the afternoon to discuss issues for MD and DME.</w:t>
            </w:r>
          </w:p>
          <w:p w14:paraId="34674C1D" w14:textId="036C0970" w:rsidR="00BD4B00" w:rsidRDefault="00BD4B00" w:rsidP="00BD4B00">
            <w:pPr>
              <w:tabs>
                <w:tab w:val="left" w:pos="567"/>
                <w:tab w:val="left" w:pos="1134"/>
                <w:tab w:val="left" w:pos="1701"/>
                <w:tab w:val="left" w:pos="2268"/>
                <w:tab w:val="right" w:pos="9072"/>
              </w:tabs>
              <w:spacing w:after="120" w:line="276" w:lineRule="auto"/>
              <w:rPr>
                <w:rFonts w:asciiTheme="minorHAnsi" w:hAnsiTheme="minorHAnsi" w:cs="Arial"/>
                <w:b/>
                <w:sz w:val="22"/>
                <w:szCs w:val="22"/>
              </w:rPr>
            </w:pPr>
          </w:p>
        </w:tc>
        <w:tc>
          <w:tcPr>
            <w:tcW w:w="1124" w:type="dxa"/>
          </w:tcPr>
          <w:p w14:paraId="79DFBC77" w14:textId="77777777" w:rsidR="007E13DF" w:rsidRDefault="007E13DF"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FB0994" w:rsidRPr="00766C01" w14:paraId="65941A0A" w14:textId="77777777" w:rsidTr="00D457D7">
        <w:tc>
          <w:tcPr>
            <w:tcW w:w="1134" w:type="dxa"/>
          </w:tcPr>
          <w:p w14:paraId="5C9A5A2C" w14:textId="77777777" w:rsidR="00FB0994" w:rsidRDefault="00FB0994" w:rsidP="0067496E">
            <w:pPr>
              <w:numPr>
                <w:ilvl w:val="0"/>
                <w:numId w:val="5"/>
              </w:numPr>
              <w:spacing w:after="120"/>
              <w:rPr>
                <w:rFonts w:asciiTheme="minorHAnsi" w:hAnsiTheme="minorHAnsi" w:cs="Arial"/>
                <w:b/>
                <w:sz w:val="22"/>
                <w:szCs w:val="22"/>
              </w:rPr>
            </w:pPr>
          </w:p>
        </w:tc>
        <w:tc>
          <w:tcPr>
            <w:tcW w:w="7513" w:type="dxa"/>
          </w:tcPr>
          <w:p w14:paraId="28822B8B" w14:textId="77777777" w:rsidR="00FB0994" w:rsidRDefault="00FB0994" w:rsidP="008F104C">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 xml:space="preserve">Date of next meetings:  </w:t>
            </w:r>
          </w:p>
          <w:p w14:paraId="24CD3A01" w14:textId="77777777" w:rsidR="00FB0994" w:rsidRPr="00FB0994" w:rsidRDefault="00FB0994" w:rsidP="003D0A91">
            <w:pPr>
              <w:tabs>
                <w:tab w:val="left" w:pos="567"/>
                <w:tab w:val="left" w:pos="1134"/>
                <w:tab w:val="left" w:pos="1701"/>
                <w:tab w:val="left" w:pos="2268"/>
                <w:tab w:val="right" w:pos="9072"/>
              </w:tabs>
              <w:spacing w:line="276" w:lineRule="auto"/>
              <w:rPr>
                <w:rFonts w:asciiTheme="minorHAnsi" w:hAnsiTheme="minorHAnsi" w:cs="Arial"/>
                <w:sz w:val="22"/>
                <w:szCs w:val="22"/>
              </w:rPr>
            </w:pPr>
            <w:r w:rsidRPr="00FB0994">
              <w:rPr>
                <w:rFonts w:asciiTheme="minorHAnsi" w:hAnsiTheme="minorHAnsi" w:cs="Arial"/>
                <w:sz w:val="22"/>
                <w:szCs w:val="22"/>
              </w:rPr>
              <w:t>Monday 20 November, Room 5, 2 Central Quay, Glasgow</w:t>
            </w:r>
          </w:p>
        </w:tc>
        <w:tc>
          <w:tcPr>
            <w:tcW w:w="1124" w:type="dxa"/>
          </w:tcPr>
          <w:p w14:paraId="0B520B9C" w14:textId="0A62DDA7" w:rsidR="00FB0994" w:rsidRDefault="00FB0994"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bl>
    <w:p w14:paraId="7DB7DE93" w14:textId="77777777" w:rsidR="00766C01" w:rsidRPr="00691927" w:rsidRDefault="00766C01" w:rsidP="00F8723A">
      <w:pPr>
        <w:tabs>
          <w:tab w:val="left" w:pos="567"/>
          <w:tab w:val="left" w:pos="1276"/>
          <w:tab w:val="left" w:pos="1701"/>
          <w:tab w:val="left" w:pos="2268"/>
          <w:tab w:val="right" w:pos="9072"/>
        </w:tabs>
        <w:rPr>
          <w:rFonts w:asciiTheme="minorHAnsi" w:hAnsiTheme="minorHAnsi" w:cs="Arial"/>
          <w:b/>
          <w:sz w:val="22"/>
          <w:szCs w:val="22"/>
        </w:rPr>
      </w:pPr>
    </w:p>
    <w:sectPr w:rsidR="00766C01" w:rsidRPr="00691927" w:rsidSect="000F7CAB">
      <w:footerReference w:type="default" r:id="rId10"/>
      <w:pgSz w:w="11906" w:h="16838" w:code="9"/>
      <w:pgMar w:top="1134"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FE0E8" w14:textId="77777777" w:rsidR="00DE268C" w:rsidRDefault="00DE268C">
      <w:r>
        <w:separator/>
      </w:r>
    </w:p>
  </w:endnote>
  <w:endnote w:type="continuationSeparator" w:id="0">
    <w:p w14:paraId="271F334B" w14:textId="77777777" w:rsidR="00DE268C" w:rsidRDefault="00DE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213537"/>
      <w:docPartObj>
        <w:docPartGallery w:val="Page Numbers (Bottom of Page)"/>
        <w:docPartUnique/>
      </w:docPartObj>
    </w:sdtPr>
    <w:sdtEndPr>
      <w:rPr>
        <w:rFonts w:asciiTheme="minorHAnsi" w:hAnsiTheme="minorHAnsi"/>
        <w:noProof/>
        <w:sz w:val="22"/>
        <w:szCs w:val="22"/>
      </w:rPr>
    </w:sdtEndPr>
    <w:sdtContent>
      <w:p w14:paraId="666ECB2D" w14:textId="4ED338BD" w:rsidR="0033751B" w:rsidRPr="0033751B" w:rsidRDefault="0033751B">
        <w:pPr>
          <w:pStyle w:val="Footer"/>
          <w:jc w:val="right"/>
          <w:rPr>
            <w:rFonts w:asciiTheme="minorHAnsi" w:hAnsiTheme="minorHAnsi"/>
            <w:sz w:val="22"/>
            <w:szCs w:val="22"/>
          </w:rPr>
        </w:pPr>
        <w:r w:rsidRPr="0033751B">
          <w:rPr>
            <w:rFonts w:asciiTheme="minorHAnsi" w:hAnsiTheme="minorHAnsi"/>
            <w:sz w:val="22"/>
            <w:szCs w:val="22"/>
          </w:rPr>
          <w:fldChar w:fldCharType="begin"/>
        </w:r>
        <w:r w:rsidRPr="0033751B">
          <w:rPr>
            <w:rFonts w:asciiTheme="minorHAnsi" w:hAnsiTheme="minorHAnsi"/>
            <w:sz w:val="22"/>
            <w:szCs w:val="22"/>
          </w:rPr>
          <w:instrText xml:space="preserve"> PAGE   \* MERGEFORMAT </w:instrText>
        </w:r>
        <w:r w:rsidRPr="0033751B">
          <w:rPr>
            <w:rFonts w:asciiTheme="minorHAnsi" w:hAnsiTheme="minorHAnsi"/>
            <w:sz w:val="22"/>
            <w:szCs w:val="22"/>
          </w:rPr>
          <w:fldChar w:fldCharType="separate"/>
        </w:r>
        <w:r w:rsidR="00266D58">
          <w:rPr>
            <w:rFonts w:asciiTheme="minorHAnsi" w:hAnsiTheme="minorHAnsi"/>
            <w:noProof/>
            <w:sz w:val="22"/>
            <w:szCs w:val="22"/>
          </w:rPr>
          <w:t>1</w:t>
        </w:r>
        <w:r w:rsidRPr="0033751B">
          <w:rPr>
            <w:rFonts w:asciiTheme="minorHAnsi" w:hAnsiTheme="minorHAnsi"/>
            <w:noProof/>
            <w:sz w:val="22"/>
            <w:szCs w:val="22"/>
          </w:rPr>
          <w:fldChar w:fldCharType="end"/>
        </w:r>
      </w:p>
    </w:sdtContent>
  </w:sdt>
  <w:p w14:paraId="6D314180" w14:textId="3ADA466B" w:rsidR="00C5784B" w:rsidRPr="00D86607" w:rsidRDefault="00C5784B"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7255E" w14:textId="77777777" w:rsidR="00DE268C" w:rsidRDefault="00DE268C">
      <w:r>
        <w:separator/>
      </w:r>
    </w:p>
  </w:footnote>
  <w:footnote w:type="continuationSeparator" w:id="0">
    <w:p w14:paraId="0C51B7A2" w14:textId="77777777" w:rsidR="00DE268C" w:rsidRDefault="00DE2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40E0"/>
    <w:multiLevelType w:val="hybridMultilevel"/>
    <w:tmpl w:val="28083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F3A"/>
    <w:multiLevelType w:val="hybridMultilevel"/>
    <w:tmpl w:val="E4B0F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A3718"/>
    <w:multiLevelType w:val="hybridMultilevel"/>
    <w:tmpl w:val="C2083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4811B5"/>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7" w15:restartNumberingAfterBreak="0">
    <w:nsid w:val="2FB167B2"/>
    <w:multiLevelType w:val="hybridMultilevel"/>
    <w:tmpl w:val="CE449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282978"/>
    <w:multiLevelType w:val="hybridMultilevel"/>
    <w:tmpl w:val="5802A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10"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3"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4" w15:restartNumberingAfterBreak="0">
    <w:nsid w:val="556679A8"/>
    <w:multiLevelType w:val="hybridMultilevel"/>
    <w:tmpl w:val="69D0B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7281B"/>
    <w:multiLevelType w:val="hybridMultilevel"/>
    <w:tmpl w:val="B9EE8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9"/>
  </w:num>
  <w:num w:numId="5">
    <w:abstractNumId w:val="5"/>
  </w:num>
  <w:num w:numId="6">
    <w:abstractNumId w:val="18"/>
  </w:num>
  <w:num w:numId="7">
    <w:abstractNumId w:val="10"/>
  </w:num>
  <w:num w:numId="8">
    <w:abstractNumId w:val="19"/>
  </w:num>
  <w:num w:numId="9">
    <w:abstractNumId w:val="0"/>
  </w:num>
  <w:num w:numId="10">
    <w:abstractNumId w:val="11"/>
  </w:num>
  <w:num w:numId="11">
    <w:abstractNumId w:val="16"/>
  </w:num>
  <w:num w:numId="12">
    <w:abstractNumId w:val="15"/>
  </w:num>
  <w:num w:numId="13">
    <w:abstractNumId w:val="3"/>
  </w:num>
  <w:num w:numId="14">
    <w:abstractNumId w:val="14"/>
  </w:num>
  <w:num w:numId="15">
    <w:abstractNumId w:val="1"/>
  </w:num>
  <w:num w:numId="16">
    <w:abstractNumId w:val="4"/>
  </w:num>
  <w:num w:numId="17">
    <w:abstractNumId w:val="17"/>
  </w:num>
  <w:num w:numId="18">
    <w:abstractNumId w:val="2"/>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1453F"/>
    <w:rsid w:val="000262CB"/>
    <w:rsid w:val="000309EA"/>
    <w:rsid w:val="00043994"/>
    <w:rsid w:val="00044D95"/>
    <w:rsid w:val="00056CE0"/>
    <w:rsid w:val="0006781F"/>
    <w:rsid w:val="00070955"/>
    <w:rsid w:val="0008204C"/>
    <w:rsid w:val="00083703"/>
    <w:rsid w:val="00085785"/>
    <w:rsid w:val="00092420"/>
    <w:rsid w:val="00093C08"/>
    <w:rsid w:val="00096B72"/>
    <w:rsid w:val="000A2CA7"/>
    <w:rsid w:val="000A33C3"/>
    <w:rsid w:val="000B3483"/>
    <w:rsid w:val="000C23E2"/>
    <w:rsid w:val="000C7762"/>
    <w:rsid w:val="000D0302"/>
    <w:rsid w:val="000D230F"/>
    <w:rsid w:val="000E626A"/>
    <w:rsid w:val="000E7611"/>
    <w:rsid w:val="000F0059"/>
    <w:rsid w:val="000F126F"/>
    <w:rsid w:val="000F7CAB"/>
    <w:rsid w:val="00103FB2"/>
    <w:rsid w:val="001108A3"/>
    <w:rsid w:val="00111E1B"/>
    <w:rsid w:val="00116FF8"/>
    <w:rsid w:val="00123B5B"/>
    <w:rsid w:val="00125461"/>
    <w:rsid w:val="00133B70"/>
    <w:rsid w:val="00147F07"/>
    <w:rsid w:val="00155804"/>
    <w:rsid w:val="00156D23"/>
    <w:rsid w:val="00180219"/>
    <w:rsid w:val="001A5ADB"/>
    <w:rsid w:val="001B1A19"/>
    <w:rsid w:val="001C1476"/>
    <w:rsid w:val="001C7C59"/>
    <w:rsid w:val="001D29B2"/>
    <w:rsid w:val="001D5B08"/>
    <w:rsid w:val="001D792D"/>
    <w:rsid w:val="001F4E16"/>
    <w:rsid w:val="001F71F8"/>
    <w:rsid w:val="00202D15"/>
    <w:rsid w:val="0021610B"/>
    <w:rsid w:val="00240106"/>
    <w:rsid w:val="002658B2"/>
    <w:rsid w:val="002669EC"/>
    <w:rsid w:val="00266D58"/>
    <w:rsid w:val="00273B56"/>
    <w:rsid w:val="00273E97"/>
    <w:rsid w:val="0028718E"/>
    <w:rsid w:val="00290D2C"/>
    <w:rsid w:val="002A4D18"/>
    <w:rsid w:val="002A69DC"/>
    <w:rsid w:val="002C353B"/>
    <w:rsid w:val="002C40DE"/>
    <w:rsid w:val="002D2A8C"/>
    <w:rsid w:val="00306355"/>
    <w:rsid w:val="00332631"/>
    <w:rsid w:val="003345FC"/>
    <w:rsid w:val="0033751B"/>
    <w:rsid w:val="00340573"/>
    <w:rsid w:val="00375537"/>
    <w:rsid w:val="00381BC0"/>
    <w:rsid w:val="003C5D2B"/>
    <w:rsid w:val="003D0A91"/>
    <w:rsid w:val="003D68FA"/>
    <w:rsid w:val="003F02D2"/>
    <w:rsid w:val="003F2155"/>
    <w:rsid w:val="004152FD"/>
    <w:rsid w:val="00455C81"/>
    <w:rsid w:val="00461714"/>
    <w:rsid w:val="00467470"/>
    <w:rsid w:val="00476ECC"/>
    <w:rsid w:val="004A24FD"/>
    <w:rsid w:val="004B33CC"/>
    <w:rsid w:val="004B76FB"/>
    <w:rsid w:val="004D0327"/>
    <w:rsid w:val="004F3E2E"/>
    <w:rsid w:val="004F648B"/>
    <w:rsid w:val="0052352D"/>
    <w:rsid w:val="005720C1"/>
    <w:rsid w:val="00580603"/>
    <w:rsid w:val="00580EBC"/>
    <w:rsid w:val="00597F2E"/>
    <w:rsid w:val="005A58D1"/>
    <w:rsid w:val="005B1E65"/>
    <w:rsid w:val="005B3023"/>
    <w:rsid w:val="005B710A"/>
    <w:rsid w:val="005C0F07"/>
    <w:rsid w:val="005E6DD1"/>
    <w:rsid w:val="0061095D"/>
    <w:rsid w:val="0061499B"/>
    <w:rsid w:val="006155C2"/>
    <w:rsid w:val="006179FB"/>
    <w:rsid w:val="00624E53"/>
    <w:rsid w:val="00664A3A"/>
    <w:rsid w:val="00670C7C"/>
    <w:rsid w:val="0067496E"/>
    <w:rsid w:val="00683585"/>
    <w:rsid w:val="00686D3A"/>
    <w:rsid w:val="00691927"/>
    <w:rsid w:val="006A70EE"/>
    <w:rsid w:val="006B250C"/>
    <w:rsid w:val="006B60E7"/>
    <w:rsid w:val="006C425D"/>
    <w:rsid w:val="006E5BE7"/>
    <w:rsid w:val="006E6E3C"/>
    <w:rsid w:val="0070412D"/>
    <w:rsid w:val="007050A0"/>
    <w:rsid w:val="00705CF8"/>
    <w:rsid w:val="00725C28"/>
    <w:rsid w:val="0074190C"/>
    <w:rsid w:val="00751F80"/>
    <w:rsid w:val="007542D5"/>
    <w:rsid w:val="00756668"/>
    <w:rsid w:val="007579B3"/>
    <w:rsid w:val="007637CC"/>
    <w:rsid w:val="00765EFD"/>
    <w:rsid w:val="00766C01"/>
    <w:rsid w:val="007761B2"/>
    <w:rsid w:val="00782F56"/>
    <w:rsid w:val="007A79CA"/>
    <w:rsid w:val="007B01A3"/>
    <w:rsid w:val="007C349B"/>
    <w:rsid w:val="007C4335"/>
    <w:rsid w:val="007D19F0"/>
    <w:rsid w:val="007E13DF"/>
    <w:rsid w:val="007F0052"/>
    <w:rsid w:val="007F3A10"/>
    <w:rsid w:val="007F502A"/>
    <w:rsid w:val="007F73A2"/>
    <w:rsid w:val="00803501"/>
    <w:rsid w:val="008235C2"/>
    <w:rsid w:val="00824FDE"/>
    <w:rsid w:val="00832941"/>
    <w:rsid w:val="0084604A"/>
    <w:rsid w:val="00865EE8"/>
    <w:rsid w:val="008743B9"/>
    <w:rsid w:val="008775A0"/>
    <w:rsid w:val="00883404"/>
    <w:rsid w:val="008B30A4"/>
    <w:rsid w:val="008C45B1"/>
    <w:rsid w:val="008D0DE3"/>
    <w:rsid w:val="008F104C"/>
    <w:rsid w:val="0090705F"/>
    <w:rsid w:val="009130F4"/>
    <w:rsid w:val="00920A96"/>
    <w:rsid w:val="00923714"/>
    <w:rsid w:val="0093255E"/>
    <w:rsid w:val="0094591D"/>
    <w:rsid w:val="00960A41"/>
    <w:rsid w:val="00960AFB"/>
    <w:rsid w:val="00980B41"/>
    <w:rsid w:val="009928D2"/>
    <w:rsid w:val="009A24E5"/>
    <w:rsid w:val="009A2FAA"/>
    <w:rsid w:val="009A43D7"/>
    <w:rsid w:val="009C228F"/>
    <w:rsid w:val="009C6B00"/>
    <w:rsid w:val="009D67D4"/>
    <w:rsid w:val="009E33E8"/>
    <w:rsid w:val="009E69D7"/>
    <w:rsid w:val="009F3E0A"/>
    <w:rsid w:val="00A00D41"/>
    <w:rsid w:val="00A07B0B"/>
    <w:rsid w:val="00A15D7C"/>
    <w:rsid w:val="00A31CD6"/>
    <w:rsid w:val="00A356BA"/>
    <w:rsid w:val="00A50549"/>
    <w:rsid w:val="00A527C0"/>
    <w:rsid w:val="00A64BCA"/>
    <w:rsid w:val="00A77849"/>
    <w:rsid w:val="00A84B81"/>
    <w:rsid w:val="00A97347"/>
    <w:rsid w:val="00A97470"/>
    <w:rsid w:val="00AA017C"/>
    <w:rsid w:val="00AA57F0"/>
    <w:rsid w:val="00AC33AC"/>
    <w:rsid w:val="00AD0BF3"/>
    <w:rsid w:val="00AF28CB"/>
    <w:rsid w:val="00AF6A08"/>
    <w:rsid w:val="00B10203"/>
    <w:rsid w:val="00B13183"/>
    <w:rsid w:val="00B20787"/>
    <w:rsid w:val="00B32FCF"/>
    <w:rsid w:val="00B46DEE"/>
    <w:rsid w:val="00B619C0"/>
    <w:rsid w:val="00B961B7"/>
    <w:rsid w:val="00BB0144"/>
    <w:rsid w:val="00BB5A03"/>
    <w:rsid w:val="00BC2B27"/>
    <w:rsid w:val="00BD4B00"/>
    <w:rsid w:val="00BD6F8D"/>
    <w:rsid w:val="00BE0958"/>
    <w:rsid w:val="00BE2224"/>
    <w:rsid w:val="00BE7596"/>
    <w:rsid w:val="00BF119E"/>
    <w:rsid w:val="00BF2E7B"/>
    <w:rsid w:val="00BF34C0"/>
    <w:rsid w:val="00BF455C"/>
    <w:rsid w:val="00C0163A"/>
    <w:rsid w:val="00C04F29"/>
    <w:rsid w:val="00C10666"/>
    <w:rsid w:val="00C15E6A"/>
    <w:rsid w:val="00C22B5C"/>
    <w:rsid w:val="00C25AEE"/>
    <w:rsid w:val="00C4413D"/>
    <w:rsid w:val="00C5784B"/>
    <w:rsid w:val="00C62BD3"/>
    <w:rsid w:val="00C76120"/>
    <w:rsid w:val="00C916D6"/>
    <w:rsid w:val="00C960C6"/>
    <w:rsid w:val="00CC1780"/>
    <w:rsid w:val="00CE2DCE"/>
    <w:rsid w:val="00CE5288"/>
    <w:rsid w:val="00CF03E6"/>
    <w:rsid w:val="00D04A70"/>
    <w:rsid w:val="00D1102C"/>
    <w:rsid w:val="00D21661"/>
    <w:rsid w:val="00D34DD5"/>
    <w:rsid w:val="00D34F29"/>
    <w:rsid w:val="00D4331F"/>
    <w:rsid w:val="00D457D7"/>
    <w:rsid w:val="00D617ED"/>
    <w:rsid w:val="00D66398"/>
    <w:rsid w:val="00D71662"/>
    <w:rsid w:val="00D732AB"/>
    <w:rsid w:val="00D86607"/>
    <w:rsid w:val="00DA74D1"/>
    <w:rsid w:val="00DC0FED"/>
    <w:rsid w:val="00DE268C"/>
    <w:rsid w:val="00DE2F9B"/>
    <w:rsid w:val="00DF2946"/>
    <w:rsid w:val="00E01A58"/>
    <w:rsid w:val="00E0222A"/>
    <w:rsid w:val="00E335AA"/>
    <w:rsid w:val="00E37874"/>
    <w:rsid w:val="00E44586"/>
    <w:rsid w:val="00E51516"/>
    <w:rsid w:val="00E60126"/>
    <w:rsid w:val="00E61C6D"/>
    <w:rsid w:val="00E6204C"/>
    <w:rsid w:val="00E633BF"/>
    <w:rsid w:val="00E7226B"/>
    <w:rsid w:val="00E86163"/>
    <w:rsid w:val="00E90693"/>
    <w:rsid w:val="00E95FC0"/>
    <w:rsid w:val="00EA0309"/>
    <w:rsid w:val="00EE2B84"/>
    <w:rsid w:val="00EE557E"/>
    <w:rsid w:val="00EF1841"/>
    <w:rsid w:val="00EF517D"/>
    <w:rsid w:val="00EF5822"/>
    <w:rsid w:val="00EF7518"/>
    <w:rsid w:val="00F015D1"/>
    <w:rsid w:val="00F02849"/>
    <w:rsid w:val="00F10B2E"/>
    <w:rsid w:val="00F254C7"/>
    <w:rsid w:val="00F41020"/>
    <w:rsid w:val="00F73263"/>
    <w:rsid w:val="00F85E5F"/>
    <w:rsid w:val="00F8723A"/>
    <w:rsid w:val="00F87A6F"/>
    <w:rsid w:val="00FA6485"/>
    <w:rsid w:val="00FB0994"/>
    <w:rsid w:val="00FB0A76"/>
    <w:rsid w:val="00FB0F07"/>
    <w:rsid w:val="00FB5F29"/>
    <w:rsid w:val="00FC57FD"/>
    <w:rsid w:val="00FC66C7"/>
    <w:rsid w:val="00FD0F53"/>
    <w:rsid w:val="00FD541B"/>
    <w:rsid w:val="00FD6F59"/>
    <w:rsid w:val="00FE6D81"/>
    <w:rsid w:val="00FF05CC"/>
    <w:rsid w:val="0AAAC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B8A892A"/>
  <w15:docId w15:val="{8059C41C-350A-4CDA-BB62-8925EC9D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paragraph" w:customStyle="1" w:styleId="Default">
    <w:name w:val="Default"/>
    <w:rsid w:val="00DF29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7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971">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6FD6C-65F8-4313-8E20-23531F9C8D55}">
  <ds:schemaRefs>
    <ds:schemaRef ds:uri="http://schemas.microsoft.com/sharepoint/v3/contenttype/forms"/>
  </ds:schemaRefs>
</ds:datastoreItem>
</file>

<file path=customXml/itemProps2.xml><?xml version="1.0" encoding="utf-8"?>
<ds:datastoreItem xmlns:ds="http://schemas.openxmlformats.org/officeDocument/2006/customXml" ds:itemID="{C63EC9C0-04E3-4C39-9FB6-BC867C88F686}"/>
</file>

<file path=customXml/itemProps3.xml><?xml version="1.0" encoding="utf-8"?>
<ds:datastoreItem xmlns:ds="http://schemas.openxmlformats.org/officeDocument/2006/customXml" ds:itemID="{155923CC-549D-47CE-89BF-F5BCA63A4325}">
  <ds:schemaRefs>
    <ds:schemaRef ds:uri="http://schemas.microsoft.com/office/2006/documentManagement/types"/>
    <ds:schemaRef ds:uri="http://www.w3.org/XML/1998/namespace"/>
    <ds:schemaRef ds:uri="http://schemas.microsoft.com/office/2006/metadata/properties"/>
    <ds:schemaRef ds:uri="http://purl.org/dc/terms/"/>
    <ds:schemaRef ds:uri="df582398-d614-4692-bd69-3e07104f3061"/>
    <ds:schemaRef ds:uri="5549f3f6-b7db-40ce-a15f-c10d2fdae267"/>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2</cp:revision>
  <cp:lastPrinted>2014-09-11T10:24:00Z</cp:lastPrinted>
  <dcterms:created xsi:type="dcterms:W3CDTF">2018-03-12T16:17:00Z</dcterms:created>
  <dcterms:modified xsi:type="dcterms:W3CDTF">2018-03-12T16:17:00Z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