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136A720B" w:rsidR="00C33FCD" w:rsidRDefault="270F4B04" w:rsidP="270F4B04">
      <w:pPr>
        <w:jc w:val="center"/>
      </w:pPr>
      <w:r w:rsidRPr="270F4B04">
        <w:rPr>
          <w:b/>
          <w:bCs/>
        </w:rPr>
        <w:t>Minutes of the Diagnostics Specialty Training Board held on Tuesday 31 January 2017, at 10.40am, in Room 2.5, Westport, Edinburgh, by videoconference</w:t>
      </w:r>
    </w:p>
    <w:p w14:paraId="69C1839E" w14:textId="55E992A6" w:rsidR="270F4B04" w:rsidRDefault="270F4B04" w:rsidP="270F4B04"/>
    <w:p w14:paraId="6AE57EDC" w14:textId="4F049962" w:rsidR="270F4B04" w:rsidRDefault="270F4B04" w:rsidP="270F4B04">
      <w:r w:rsidRPr="006264D5">
        <w:rPr>
          <w:b/>
        </w:rPr>
        <w:t>Present</w:t>
      </w:r>
      <w:r>
        <w:t xml:space="preserve">: Peter Johnston </w:t>
      </w:r>
      <w:r w:rsidR="006264D5">
        <w:t xml:space="preserve">(Chair) PJ, Judith Anderson (JA), Raj Bhat (RB), John Bremner (JB), Frances Dorrian (FD), </w:t>
      </w:r>
      <w:r w:rsidR="00781C68">
        <w:t xml:space="preserve">Fiona Ewing (FE), </w:t>
      </w:r>
      <w:r w:rsidR="006264D5">
        <w:t xml:space="preserve">Robert Fleming (RF), Peter Galloway (PG), Sai Han (SH), Pota Kalima (PK), </w:t>
      </w:r>
      <w:r w:rsidR="00834E2B">
        <w:t xml:space="preserve">Wilma Kincaid (WK), </w:t>
      </w:r>
      <w:r w:rsidR="006264D5">
        <w:t>Marie Mathers (MM), Alasdair McCafferty (AMC), Iain McGlinchey (IMG), Jane Paxton (JP)</w:t>
      </w:r>
      <w:r w:rsidR="00781C68">
        <w:t>, Fiona Payne (FP)</w:t>
      </w:r>
    </w:p>
    <w:p w14:paraId="27C89CCB" w14:textId="4F4DD316" w:rsidR="006264D5" w:rsidRDefault="006264D5" w:rsidP="270F4B04">
      <w:r w:rsidRPr="006264D5">
        <w:rPr>
          <w:b/>
        </w:rPr>
        <w:t>Apologies</w:t>
      </w:r>
      <w:r>
        <w:t xml:space="preserve">: Ralph Bouhaider (RBo), Bernard Croal (BC), John Cummings (JC), Sharon Edwards (SE), Clair Evans (CE), Stuart Fleming (SF), Clare McKenzie (CMK), Hannah Monaghan (HM), </w:t>
      </w:r>
      <w:r w:rsidR="00781C68">
        <w:t xml:space="preserve">Shona Olson (SO), </w:t>
      </w:r>
      <w:r>
        <w:t>Rowan Parks (RP), Colin Smith (CS), David Summers (DS), Emma Watson (EW)</w:t>
      </w:r>
    </w:p>
    <w:p w14:paraId="267B5A25" w14:textId="149F5DD6" w:rsidR="00781C68" w:rsidRDefault="00781C68" w:rsidP="270F4B04">
      <w:r w:rsidRPr="00781C68">
        <w:rPr>
          <w:b/>
        </w:rPr>
        <w:t>In attendance</w:t>
      </w:r>
      <w:r>
        <w:t>: Paola Solar (PS)</w:t>
      </w:r>
    </w:p>
    <w:p w14:paraId="51D93550" w14:textId="14DF22D8" w:rsidR="00781C68" w:rsidRDefault="00781C68" w:rsidP="270F4B04"/>
    <w:tbl>
      <w:tblPr>
        <w:tblStyle w:val="TableGrid"/>
        <w:tblW w:w="9918" w:type="dxa"/>
        <w:tblLook w:val="04A0" w:firstRow="1" w:lastRow="0" w:firstColumn="1" w:lastColumn="0" w:noHBand="0" w:noVBand="1"/>
      </w:tblPr>
      <w:tblGrid>
        <w:gridCol w:w="1129"/>
        <w:gridCol w:w="7655"/>
        <w:gridCol w:w="1134"/>
      </w:tblGrid>
      <w:tr w:rsidR="00781C68" w14:paraId="30AF33AB" w14:textId="77777777" w:rsidTr="007D2AEB">
        <w:tc>
          <w:tcPr>
            <w:tcW w:w="1129" w:type="dxa"/>
            <w:tcBorders>
              <w:top w:val="nil"/>
              <w:left w:val="nil"/>
              <w:bottom w:val="nil"/>
              <w:right w:val="nil"/>
            </w:tcBorders>
          </w:tcPr>
          <w:p w14:paraId="4DF207AE" w14:textId="5C94AFE3" w:rsidR="00781C68" w:rsidRPr="00A4645B" w:rsidRDefault="00A4645B" w:rsidP="270F4B04">
            <w:pPr>
              <w:rPr>
                <w:b/>
              </w:rPr>
            </w:pPr>
            <w:r w:rsidRPr="00A4645B">
              <w:rPr>
                <w:b/>
              </w:rPr>
              <w:t>Item</w:t>
            </w:r>
          </w:p>
        </w:tc>
        <w:tc>
          <w:tcPr>
            <w:tcW w:w="7655" w:type="dxa"/>
            <w:tcBorders>
              <w:top w:val="nil"/>
              <w:left w:val="nil"/>
              <w:bottom w:val="nil"/>
              <w:right w:val="nil"/>
            </w:tcBorders>
          </w:tcPr>
          <w:p w14:paraId="591D8769" w14:textId="77777777" w:rsidR="00781C68" w:rsidRDefault="00781C68" w:rsidP="270F4B04"/>
        </w:tc>
        <w:tc>
          <w:tcPr>
            <w:tcW w:w="1134" w:type="dxa"/>
            <w:tcBorders>
              <w:top w:val="nil"/>
              <w:left w:val="nil"/>
              <w:bottom w:val="nil"/>
              <w:right w:val="nil"/>
            </w:tcBorders>
          </w:tcPr>
          <w:p w14:paraId="5CE0A1E2" w14:textId="3D2DA9BA" w:rsidR="00781C68" w:rsidRPr="00A4645B" w:rsidRDefault="00A4645B" w:rsidP="00A4645B">
            <w:pPr>
              <w:jc w:val="center"/>
              <w:rPr>
                <w:b/>
              </w:rPr>
            </w:pPr>
            <w:r w:rsidRPr="00A4645B">
              <w:rPr>
                <w:b/>
              </w:rPr>
              <w:t>Lead</w:t>
            </w:r>
          </w:p>
        </w:tc>
      </w:tr>
      <w:tr w:rsidR="00781C68" w14:paraId="1B9D312E" w14:textId="77777777" w:rsidTr="007D2AEB">
        <w:tc>
          <w:tcPr>
            <w:tcW w:w="1129" w:type="dxa"/>
            <w:tcBorders>
              <w:top w:val="nil"/>
              <w:left w:val="nil"/>
              <w:bottom w:val="nil"/>
              <w:right w:val="nil"/>
            </w:tcBorders>
          </w:tcPr>
          <w:p w14:paraId="4C5DF56C" w14:textId="77777777" w:rsidR="00781C68" w:rsidRDefault="00781C68" w:rsidP="00A4645B">
            <w:pPr>
              <w:pStyle w:val="ListParagraph"/>
              <w:numPr>
                <w:ilvl w:val="0"/>
                <w:numId w:val="1"/>
              </w:numPr>
            </w:pPr>
          </w:p>
        </w:tc>
        <w:tc>
          <w:tcPr>
            <w:tcW w:w="7655" w:type="dxa"/>
            <w:tcBorders>
              <w:top w:val="nil"/>
              <w:left w:val="nil"/>
              <w:bottom w:val="nil"/>
              <w:right w:val="nil"/>
            </w:tcBorders>
          </w:tcPr>
          <w:p w14:paraId="70896384" w14:textId="77777777" w:rsidR="00781C68" w:rsidRPr="00A4645B" w:rsidRDefault="00A4645B" w:rsidP="270F4B04">
            <w:pPr>
              <w:rPr>
                <w:b/>
              </w:rPr>
            </w:pPr>
            <w:r w:rsidRPr="00A4645B">
              <w:rPr>
                <w:b/>
              </w:rPr>
              <w:t>Welcome and apologies</w:t>
            </w:r>
          </w:p>
          <w:p w14:paraId="00DB45FE" w14:textId="77777777" w:rsidR="00A4645B" w:rsidRDefault="00A4645B" w:rsidP="270F4B04">
            <w:r>
              <w:t>The group were welcomed to the meeting and the apologies were noted.</w:t>
            </w:r>
          </w:p>
          <w:p w14:paraId="4B9D02F4" w14:textId="6D556A48" w:rsidR="00A4645B" w:rsidRDefault="00A4645B" w:rsidP="270F4B04"/>
        </w:tc>
        <w:tc>
          <w:tcPr>
            <w:tcW w:w="1134" w:type="dxa"/>
            <w:tcBorders>
              <w:top w:val="nil"/>
              <w:left w:val="nil"/>
              <w:bottom w:val="nil"/>
              <w:right w:val="nil"/>
            </w:tcBorders>
          </w:tcPr>
          <w:p w14:paraId="618738DC" w14:textId="77777777" w:rsidR="00781C68" w:rsidRPr="00A4645B" w:rsidRDefault="00781C68" w:rsidP="00A4645B">
            <w:pPr>
              <w:jc w:val="center"/>
              <w:rPr>
                <w:b/>
              </w:rPr>
            </w:pPr>
          </w:p>
        </w:tc>
      </w:tr>
      <w:tr w:rsidR="00781C68" w14:paraId="5984256D" w14:textId="77777777" w:rsidTr="007D2AEB">
        <w:tc>
          <w:tcPr>
            <w:tcW w:w="1129" w:type="dxa"/>
            <w:tcBorders>
              <w:top w:val="nil"/>
              <w:left w:val="nil"/>
              <w:bottom w:val="nil"/>
              <w:right w:val="nil"/>
            </w:tcBorders>
          </w:tcPr>
          <w:p w14:paraId="787482B5" w14:textId="77777777" w:rsidR="00781C68" w:rsidRDefault="00781C68" w:rsidP="00A4645B">
            <w:pPr>
              <w:pStyle w:val="ListParagraph"/>
              <w:numPr>
                <w:ilvl w:val="0"/>
                <w:numId w:val="1"/>
              </w:numPr>
            </w:pPr>
          </w:p>
        </w:tc>
        <w:tc>
          <w:tcPr>
            <w:tcW w:w="7655" w:type="dxa"/>
            <w:tcBorders>
              <w:top w:val="nil"/>
              <w:left w:val="nil"/>
              <w:bottom w:val="nil"/>
              <w:right w:val="nil"/>
            </w:tcBorders>
          </w:tcPr>
          <w:p w14:paraId="22F89160" w14:textId="77777777" w:rsidR="00781C68" w:rsidRPr="00A4645B" w:rsidRDefault="00A4645B" w:rsidP="270F4B04">
            <w:pPr>
              <w:rPr>
                <w:b/>
              </w:rPr>
            </w:pPr>
            <w:r w:rsidRPr="00A4645B">
              <w:rPr>
                <w:b/>
              </w:rPr>
              <w:t>Minutes of meeting held on 15 December 2016</w:t>
            </w:r>
          </w:p>
          <w:p w14:paraId="50C859EC" w14:textId="77777777" w:rsidR="00A4645B" w:rsidRDefault="00A4645B" w:rsidP="270F4B04">
            <w:r>
              <w:t>The minutes of the previous meeting were approved as a correct record.</w:t>
            </w:r>
          </w:p>
          <w:p w14:paraId="28C74128" w14:textId="5991FDF4" w:rsidR="00A4645B" w:rsidRDefault="00A4645B" w:rsidP="270F4B04"/>
        </w:tc>
        <w:tc>
          <w:tcPr>
            <w:tcW w:w="1134" w:type="dxa"/>
            <w:tcBorders>
              <w:top w:val="nil"/>
              <w:left w:val="nil"/>
              <w:bottom w:val="nil"/>
              <w:right w:val="nil"/>
            </w:tcBorders>
          </w:tcPr>
          <w:p w14:paraId="7F1B687B" w14:textId="77777777" w:rsidR="00781C68" w:rsidRPr="00A4645B" w:rsidRDefault="00781C68" w:rsidP="00A4645B">
            <w:pPr>
              <w:jc w:val="center"/>
              <w:rPr>
                <w:b/>
              </w:rPr>
            </w:pPr>
          </w:p>
        </w:tc>
      </w:tr>
      <w:tr w:rsidR="00781C68" w14:paraId="7B6F0E73" w14:textId="77777777" w:rsidTr="007D2AEB">
        <w:tc>
          <w:tcPr>
            <w:tcW w:w="1129" w:type="dxa"/>
            <w:tcBorders>
              <w:top w:val="nil"/>
              <w:left w:val="nil"/>
              <w:bottom w:val="nil"/>
              <w:right w:val="nil"/>
            </w:tcBorders>
          </w:tcPr>
          <w:p w14:paraId="3D9CB26C" w14:textId="77777777" w:rsidR="00781C68" w:rsidRDefault="00781C68" w:rsidP="00A4645B">
            <w:pPr>
              <w:pStyle w:val="ListParagraph"/>
              <w:numPr>
                <w:ilvl w:val="0"/>
                <w:numId w:val="1"/>
              </w:numPr>
            </w:pPr>
          </w:p>
        </w:tc>
        <w:tc>
          <w:tcPr>
            <w:tcW w:w="7655" w:type="dxa"/>
            <w:tcBorders>
              <w:top w:val="nil"/>
              <w:left w:val="nil"/>
              <w:bottom w:val="nil"/>
              <w:right w:val="nil"/>
            </w:tcBorders>
          </w:tcPr>
          <w:p w14:paraId="3F759B52" w14:textId="23C0AD4D" w:rsidR="00781C68" w:rsidRPr="00A4645B" w:rsidRDefault="00A4645B" w:rsidP="270F4B04">
            <w:pPr>
              <w:rPr>
                <w:b/>
              </w:rPr>
            </w:pPr>
            <w:r w:rsidRPr="00A4645B">
              <w:rPr>
                <w:b/>
              </w:rPr>
              <w:t>Matters arising / actions from previous meeting</w:t>
            </w:r>
          </w:p>
        </w:tc>
        <w:tc>
          <w:tcPr>
            <w:tcW w:w="1134" w:type="dxa"/>
            <w:tcBorders>
              <w:top w:val="nil"/>
              <w:left w:val="nil"/>
              <w:bottom w:val="nil"/>
              <w:right w:val="nil"/>
            </w:tcBorders>
          </w:tcPr>
          <w:p w14:paraId="1DD47A93" w14:textId="77777777" w:rsidR="00781C68" w:rsidRPr="00A4645B" w:rsidRDefault="00781C68" w:rsidP="00A4645B">
            <w:pPr>
              <w:jc w:val="center"/>
              <w:rPr>
                <w:b/>
              </w:rPr>
            </w:pPr>
          </w:p>
        </w:tc>
      </w:tr>
      <w:tr w:rsidR="00781C68" w14:paraId="32474DE7" w14:textId="77777777" w:rsidTr="007D2AEB">
        <w:tc>
          <w:tcPr>
            <w:tcW w:w="1129" w:type="dxa"/>
            <w:tcBorders>
              <w:top w:val="nil"/>
              <w:left w:val="nil"/>
              <w:bottom w:val="nil"/>
              <w:right w:val="nil"/>
            </w:tcBorders>
          </w:tcPr>
          <w:p w14:paraId="6E8A42B1" w14:textId="77777777" w:rsidR="00781C68" w:rsidRDefault="00781C68" w:rsidP="00A4645B">
            <w:pPr>
              <w:pStyle w:val="ListParagraph"/>
              <w:numPr>
                <w:ilvl w:val="1"/>
                <w:numId w:val="1"/>
              </w:numPr>
            </w:pPr>
          </w:p>
        </w:tc>
        <w:tc>
          <w:tcPr>
            <w:tcW w:w="7655" w:type="dxa"/>
            <w:tcBorders>
              <w:top w:val="nil"/>
              <w:left w:val="nil"/>
              <w:bottom w:val="nil"/>
              <w:right w:val="nil"/>
            </w:tcBorders>
          </w:tcPr>
          <w:p w14:paraId="52B7ECC5" w14:textId="77777777" w:rsidR="00781C68" w:rsidRDefault="00A4645B" w:rsidP="270F4B04">
            <w:r>
              <w:t>SAMD representation on STB</w:t>
            </w:r>
          </w:p>
          <w:p w14:paraId="1E6D9F46" w14:textId="3D2CC1D3" w:rsidR="00A4645B" w:rsidRDefault="00A4645B" w:rsidP="270F4B04">
            <w:r>
              <w:t xml:space="preserve">This is a common issue at Specialty Boards. At the last MDET it was decided that the STB Chair would highlight anything of importance to SAMD via the MDET report as </w:t>
            </w:r>
            <w:r w:rsidR="007D2AEB">
              <w:t xml:space="preserve">Prof </w:t>
            </w:r>
            <w:r>
              <w:t>Stewart Irvine is part of SAMD.</w:t>
            </w:r>
          </w:p>
          <w:p w14:paraId="492D7650" w14:textId="564489F7" w:rsidR="00A4645B" w:rsidRDefault="00A4645B" w:rsidP="270F4B04"/>
        </w:tc>
        <w:tc>
          <w:tcPr>
            <w:tcW w:w="1134" w:type="dxa"/>
            <w:tcBorders>
              <w:top w:val="nil"/>
              <w:left w:val="nil"/>
              <w:bottom w:val="nil"/>
              <w:right w:val="nil"/>
            </w:tcBorders>
          </w:tcPr>
          <w:p w14:paraId="7020B832" w14:textId="77777777" w:rsidR="00781C68" w:rsidRPr="00A4645B" w:rsidRDefault="00781C68" w:rsidP="00A4645B">
            <w:pPr>
              <w:jc w:val="center"/>
              <w:rPr>
                <w:b/>
              </w:rPr>
            </w:pPr>
          </w:p>
        </w:tc>
      </w:tr>
      <w:tr w:rsidR="00781C68" w14:paraId="44B0F2E4" w14:textId="77777777" w:rsidTr="007D2AEB">
        <w:tc>
          <w:tcPr>
            <w:tcW w:w="1129" w:type="dxa"/>
            <w:tcBorders>
              <w:top w:val="nil"/>
              <w:left w:val="nil"/>
              <w:bottom w:val="nil"/>
              <w:right w:val="nil"/>
            </w:tcBorders>
          </w:tcPr>
          <w:p w14:paraId="74845495" w14:textId="77777777" w:rsidR="00781C68" w:rsidRDefault="00781C68" w:rsidP="00A4645B">
            <w:pPr>
              <w:pStyle w:val="ListParagraph"/>
              <w:numPr>
                <w:ilvl w:val="1"/>
                <w:numId w:val="1"/>
              </w:numPr>
            </w:pPr>
          </w:p>
        </w:tc>
        <w:tc>
          <w:tcPr>
            <w:tcW w:w="7655" w:type="dxa"/>
            <w:tcBorders>
              <w:top w:val="nil"/>
              <w:left w:val="nil"/>
              <w:bottom w:val="nil"/>
              <w:right w:val="nil"/>
            </w:tcBorders>
          </w:tcPr>
          <w:p w14:paraId="79E2E1A5" w14:textId="77777777" w:rsidR="00781C68" w:rsidRPr="00D64C12" w:rsidRDefault="00A4645B" w:rsidP="270F4B04">
            <w:r w:rsidRPr="00D64C12">
              <w:t>Interventional radiology update</w:t>
            </w:r>
          </w:p>
          <w:p w14:paraId="72E3F4C0" w14:textId="32579AA5" w:rsidR="00A4645B" w:rsidRDefault="00CF4AE5" w:rsidP="270F4B04">
            <w:r>
              <w:t xml:space="preserve">A meeting was held in Edinburgh in which it was agreed that IR training could be expanded to sites where IR happens. PJ noted that Alistair Todd is very keen to expand the role of IR in Inverness. However, the group agreed that it is difficult for trainees from outside Inverness to go to Raigmore for training. </w:t>
            </w:r>
          </w:p>
          <w:p w14:paraId="65D483AE" w14:textId="24CC9EF4" w:rsidR="00CF4AE5" w:rsidRDefault="00CF4AE5" w:rsidP="270F4B04"/>
          <w:p w14:paraId="58FAA9F7" w14:textId="5398A3D9" w:rsidR="00CF4AE5" w:rsidRDefault="00CF4AE5" w:rsidP="270F4B04">
            <w:r>
              <w:t xml:space="preserve">The Inverness proposal questioned the length of the current rotas and how trainees’ time is used in different bases. </w:t>
            </w:r>
          </w:p>
          <w:p w14:paraId="4014464D" w14:textId="64D9D302" w:rsidR="00CF4AE5" w:rsidRDefault="00CF4AE5" w:rsidP="270F4B04"/>
          <w:p w14:paraId="1380E82B" w14:textId="7F93EDE6" w:rsidR="00CF4AE5" w:rsidRDefault="00CF4AE5" w:rsidP="270F4B04">
            <w:r>
              <w:t xml:space="preserve">Around 11 IR trainees obtain their CCT every 3 years, which is a large number for a small specialty, but it is uncertain whether they remain to work in Scotland. After some consideration the Board agreed to keep the current training numbers. </w:t>
            </w:r>
          </w:p>
          <w:p w14:paraId="65EA7348" w14:textId="6E556DEA" w:rsidR="00CF4AE5" w:rsidRDefault="00CF4AE5" w:rsidP="270F4B04"/>
          <w:p w14:paraId="1270A92A" w14:textId="08DA087F" w:rsidR="006A3E23" w:rsidRDefault="00CF4AE5" w:rsidP="270F4B04">
            <w:r>
              <w:t xml:space="preserve">If the IR numbers are not filled one year they can be recycled as Clinical Radiology and recruited the following year. </w:t>
            </w:r>
          </w:p>
          <w:p w14:paraId="2F849A79" w14:textId="77777777" w:rsidR="007D2AEB" w:rsidRDefault="007D2AEB" w:rsidP="270F4B04"/>
          <w:p w14:paraId="5E66A543" w14:textId="0BFFAF8E" w:rsidR="00CF4AE5" w:rsidRDefault="006A3E23" w:rsidP="270F4B04">
            <w:r>
              <w:t xml:space="preserve">The TPDs will need further discussion to agree on best use of resources, as trainees may have to move to other locations to get IR exposure. FD noted that any </w:t>
            </w:r>
            <w:r>
              <w:lastRenderedPageBreak/>
              <w:t xml:space="preserve">proposal to change the balance of trainees in hospitals will have to go through the Medical Director and the Finance department. More discussion on operational details would be required. </w:t>
            </w:r>
          </w:p>
          <w:p w14:paraId="13ADC4C7" w14:textId="433F6A75" w:rsidR="00CF4AE5" w:rsidRDefault="00CF4AE5" w:rsidP="270F4B04"/>
        </w:tc>
        <w:tc>
          <w:tcPr>
            <w:tcW w:w="1134" w:type="dxa"/>
            <w:tcBorders>
              <w:top w:val="nil"/>
              <w:left w:val="nil"/>
              <w:bottom w:val="nil"/>
              <w:right w:val="nil"/>
            </w:tcBorders>
          </w:tcPr>
          <w:p w14:paraId="0C62C875" w14:textId="77777777" w:rsidR="00781C68" w:rsidRPr="00A4645B" w:rsidRDefault="00781C68" w:rsidP="00A4645B">
            <w:pPr>
              <w:jc w:val="center"/>
              <w:rPr>
                <w:b/>
              </w:rPr>
            </w:pPr>
          </w:p>
        </w:tc>
      </w:tr>
      <w:tr w:rsidR="00781C68" w14:paraId="0C5FD60D" w14:textId="77777777" w:rsidTr="007D2AEB">
        <w:tc>
          <w:tcPr>
            <w:tcW w:w="1129" w:type="dxa"/>
            <w:tcBorders>
              <w:top w:val="nil"/>
              <w:left w:val="nil"/>
              <w:bottom w:val="nil"/>
              <w:right w:val="nil"/>
            </w:tcBorders>
          </w:tcPr>
          <w:p w14:paraId="5362EC1E" w14:textId="77777777" w:rsidR="00781C68" w:rsidRDefault="00781C68" w:rsidP="00A4645B">
            <w:pPr>
              <w:pStyle w:val="ListParagraph"/>
              <w:numPr>
                <w:ilvl w:val="1"/>
                <w:numId w:val="1"/>
              </w:numPr>
            </w:pPr>
          </w:p>
        </w:tc>
        <w:tc>
          <w:tcPr>
            <w:tcW w:w="7655" w:type="dxa"/>
            <w:tcBorders>
              <w:top w:val="nil"/>
              <w:left w:val="nil"/>
              <w:bottom w:val="nil"/>
              <w:right w:val="nil"/>
            </w:tcBorders>
          </w:tcPr>
          <w:p w14:paraId="7F186CFA" w14:textId="77777777" w:rsidR="00781C68" w:rsidRDefault="006A3E23" w:rsidP="270F4B04">
            <w:r>
              <w:t>Medical Microbiology ePortfolio update</w:t>
            </w:r>
          </w:p>
          <w:p w14:paraId="464AE2C5" w14:textId="3A669CDD" w:rsidR="006A3E23" w:rsidRDefault="006A3E23" w:rsidP="006A3E23">
            <w:r>
              <w:t xml:space="preserve">PJ informed the Board that the College has given a grace period so trainees may continue to use the old ePortfolio until after </w:t>
            </w:r>
            <w:r w:rsidR="007D2AEB">
              <w:t xml:space="preserve">the </w:t>
            </w:r>
            <w:r>
              <w:t xml:space="preserve">ARCP period this year. </w:t>
            </w:r>
          </w:p>
          <w:p w14:paraId="15092C31" w14:textId="51445A59" w:rsidR="004C7FB3" w:rsidRDefault="004C7FB3" w:rsidP="006A3E23"/>
        </w:tc>
        <w:tc>
          <w:tcPr>
            <w:tcW w:w="1134" w:type="dxa"/>
            <w:tcBorders>
              <w:top w:val="nil"/>
              <w:left w:val="nil"/>
              <w:bottom w:val="nil"/>
              <w:right w:val="nil"/>
            </w:tcBorders>
          </w:tcPr>
          <w:p w14:paraId="1BF11FDB" w14:textId="77777777" w:rsidR="00781C68" w:rsidRPr="00A4645B" w:rsidRDefault="00781C68" w:rsidP="00A4645B">
            <w:pPr>
              <w:jc w:val="center"/>
              <w:rPr>
                <w:b/>
              </w:rPr>
            </w:pPr>
          </w:p>
        </w:tc>
      </w:tr>
      <w:tr w:rsidR="00781C68" w14:paraId="791F8F0B" w14:textId="77777777" w:rsidTr="007D2AEB">
        <w:tc>
          <w:tcPr>
            <w:tcW w:w="1129" w:type="dxa"/>
            <w:tcBorders>
              <w:top w:val="nil"/>
              <w:left w:val="nil"/>
              <w:bottom w:val="nil"/>
              <w:right w:val="nil"/>
            </w:tcBorders>
          </w:tcPr>
          <w:p w14:paraId="53A35AC2" w14:textId="77777777" w:rsidR="00781C68" w:rsidRDefault="00781C68" w:rsidP="00A4645B">
            <w:pPr>
              <w:pStyle w:val="ListParagraph"/>
              <w:numPr>
                <w:ilvl w:val="1"/>
                <w:numId w:val="1"/>
              </w:numPr>
            </w:pPr>
          </w:p>
        </w:tc>
        <w:tc>
          <w:tcPr>
            <w:tcW w:w="7655" w:type="dxa"/>
            <w:tcBorders>
              <w:top w:val="nil"/>
              <w:left w:val="nil"/>
              <w:bottom w:val="nil"/>
              <w:right w:val="nil"/>
            </w:tcBorders>
          </w:tcPr>
          <w:p w14:paraId="727EBC9B" w14:textId="77777777" w:rsidR="00781C68" w:rsidRDefault="004C7FB3" w:rsidP="270F4B04">
            <w:r>
              <w:t>Academic representation on STB</w:t>
            </w:r>
          </w:p>
          <w:p w14:paraId="777061C2" w14:textId="77777777" w:rsidR="004C7FB3" w:rsidRDefault="004C7FB3" w:rsidP="270F4B04">
            <w:r>
              <w:t>Academic representation has not been confirmed yet.</w:t>
            </w:r>
          </w:p>
          <w:p w14:paraId="3CDD9A7F" w14:textId="54FFE13A" w:rsidR="004C7FB3" w:rsidRDefault="004C7FB3" w:rsidP="270F4B04"/>
        </w:tc>
        <w:tc>
          <w:tcPr>
            <w:tcW w:w="1134" w:type="dxa"/>
            <w:tcBorders>
              <w:top w:val="nil"/>
              <w:left w:val="nil"/>
              <w:bottom w:val="nil"/>
              <w:right w:val="nil"/>
            </w:tcBorders>
          </w:tcPr>
          <w:p w14:paraId="1C7CC1B2" w14:textId="77777777" w:rsidR="00781C68" w:rsidRPr="00A4645B" w:rsidRDefault="00781C68" w:rsidP="00A4645B">
            <w:pPr>
              <w:jc w:val="center"/>
              <w:rPr>
                <w:b/>
              </w:rPr>
            </w:pPr>
          </w:p>
        </w:tc>
      </w:tr>
      <w:tr w:rsidR="004C7FB3" w14:paraId="777B53A2" w14:textId="77777777" w:rsidTr="007D2AEB">
        <w:tc>
          <w:tcPr>
            <w:tcW w:w="1129" w:type="dxa"/>
            <w:tcBorders>
              <w:top w:val="nil"/>
              <w:left w:val="nil"/>
              <w:bottom w:val="nil"/>
              <w:right w:val="nil"/>
            </w:tcBorders>
          </w:tcPr>
          <w:p w14:paraId="677580E0" w14:textId="77777777" w:rsidR="004C7FB3" w:rsidRDefault="004C7FB3" w:rsidP="00A4645B">
            <w:pPr>
              <w:pStyle w:val="ListParagraph"/>
              <w:numPr>
                <w:ilvl w:val="1"/>
                <w:numId w:val="1"/>
              </w:numPr>
            </w:pPr>
          </w:p>
        </w:tc>
        <w:tc>
          <w:tcPr>
            <w:tcW w:w="7655" w:type="dxa"/>
            <w:tcBorders>
              <w:top w:val="nil"/>
              <w:left w:val="nil"/>
              <w:bottom w:val="nil"/>
              <w:right w:val="nil"/>
            </w:tcBorders>
          </w:tcPr>
          <w:p w14:paraId="1202FBEB" w14:textId="77777777" w:rsidR="004C7FB3" w:rsidRDefault="004C7FB3" w:rsidP="270F4B04">
            <w:r>
              <w:t>Paediatric Pathology</w:t>
            </w:r>
          </w:p>
          <w:p w14:paraId="0364AE35" w14:textId="0A7F83BC" w:rsidR="004C7FB3" w:rsidRDefault="004C7FB3" w:rsidP="270F4B04">
            <w:r>
              <w:t xml:space="preserve">Two trainees have started the new training programme in Glasgow. One of them will rotate to Aberdeen for a block. </w:t>
            </w:r>
          </w:p>
          <w:p w14:paraId="58ED6863" w14:textId="77777777" w:rsidR="00837994" w:rsidRDefault="00837994" w:rsidP="270F4B04"/>
          <w:p w14:paraId="5E8282A6" w14:textId="77777777" w:rsidR="004C7FB3" w:rsidRDefault="004C7FB3" w:rsidP="270F4B04">
            <w:r>
              <w:t xml:space="preserve">PJ expressed the Board’s congratulations to all those involved for putting together the Paediatric Pathology programme, as well as their thanks to NES for sorting all the recruitment issues. </w:t>
            </w:r>
          </w:p>
          <w:p w14:paraId="21DE084A" w14:textId="513E4FA6" w:rsidR="004C7FB3" w:rsidRDefault="004C7FB3" w:rsidP="270F4B04"/>
        </w:tc>
        <w:tc>
          <w:tcPr>
            <w:tcW w:w="1134" w:type="dxa"/>
            <w:tcBorders>
              <w:top w:val="nil"/>
              <w:left w:val="nil"/>
              <w:bottom w:val="nil"/>
              <w:right w:val="nil"/>
            </w:tcBorders>
          </w:tcPr>
          <w:p w14:paraId="5DF0BC79" w14:textId="77777777" w:rsidR="004C7FB3" w:rsidRPr="00A4645B" w:rsidRDefault="004C7FB3" w:rsidP="00A4645B">
            <w:pPr>
              <w:jc w:val="center"/>
              <w:rPr>
                <w:b/>
              </w:rPr>
            </w:pPr>
          </w:p>
        </w:tc>
      </w:tr>
      <w:tr w:rsidR="004C7FB3" w14:paraId="3A1A3B2F" w14:textId="77777777" w:rsidTr="007D2AEB">
        <w:tc>
          <w:tcPr>
            <w:tcW w:w="1129" w:type="dxa"/>
            <w:tcBorders>
              <w:top w:val="nil"/>
              <w:left w:val="nil"/>
              <w:bottom w:val="nil"/>
              <w:right w:val="nil"/>
            </w:tcBorders>
          </w:tcPr>
          <w:p w14:paraId="23CCB596" w14:textId="77777777" w:rsidR="004C7FB3" w:rsidRDefault="004C7FB3" w:rsidP="00A4645B">
            <w:pPr>
              <w:pStyle w:val="ListParagraph"/>
              <w:numPr>
                <w:ilvl w:val="1"/>
                <w:numId w:val="1"/>
              </w:numPr>
            </w:pPr>
          </w:p>
        </w:tc>
        <w:tc>
          <w:tcPr>
            <w:tcW w:w="7655" w:type="dxa"/>
            <w:tcBorders>
              <w:top w:val="nil"/>
              <w:left w:val="nil"/>
              <w:bottom w:val="nil"/>
              <w:right w:val="nil"/>
            </w:tcBorders>
          </w:tcPr>
          <w:p w14:paraId="0D4E8A88" w14:textId="77777777" w:rsidR="004C7FB3" w:rsidRDefault="004C7FB3" w:rsidP="270F4B04">
            <w:r>
              <w:t>LaMP</w:t>
            </w:r>
          </w:p>
          <w:p w14:paraId="5572BFE0" w14:textId="77777777" w:rsidR="004C7FB3" w:rsidRDefault="004C7FB3" w:rsidP="270F4B04">
            <w:r>
              <w:t xml:space="preserve">PJ will speak to Ronald MacVicar about increasing the course capacity. </w:t>
            </w:r>
          </w:p>
          <w:p w14:paraId="7F5EF209" w14:textId="25309FE4" w:rsidR="004C7FB3" w:rsidRDefault="004C7FB3" w:rsidP="270F4B04"/>
        </w:tc>
        <w:tc>
          <w:tcPr>
            <w:tcW w:w="1134" w:type="dxa"/>
            <w:tcBorders>
              <w:top w:val="nil"/>
              <w:left w:val="nil"/>
              <w:bottom w:val="nil"/>
              <w:right w:val="nil"/>
            </w:tcBorders>
          </w:tcPr>
          <w:p w14:paraId="002EF63C" w14:textId="77777777" w:rsidR="004C7FB3" w:rsidRDefault="004C7FB3" w:rsidP="00A4645B">
            <w:pPr>
              <w:jc w:val="center"/>
              <w:rPr>
                <w:b/>
              </w:rPr>
            </w:pPr>
          </w:p>
          <w:p w14:paraId="78784C76" w14:textId="2A915E27" w:rsidR="00837994" w:rsidRPr="00A4645B" w:rsidRDefault="00837994" w:rsidP="00A4645B">
            <w:pPr>
              <w:jc w:val="center"/>
              <w:rPr>
                <w:b/>
              </w:rPr>
            </w:pPr>
            <w:r>
              <w:rPr>
                <w:b/>
              </w:rPr>
              <w:t>PJ</w:t>
            </w:r>
          </w:p>
        </w:tc>
      </w:tr>
      <w:tr w:rsidR="004C7FB3" w14:paraId="70607D78" w14:textId="77777777" w:rsidTr="007D2AEB">
        <w:tc>
          <w:tcPr>
            <w:tcW w:w="1129" w:type="dxa"/>
            <w:tcBorders>
              <w:top w:val="nil"/>
              <w:left w:val="nil"/>
              <w:bottom w:val="nil"/>
              <w:right w:val="nil"/>
            </w:tcBorders>
          </w:tcPr>
          <w:p w14:paraId="32E79FEE" w14:textId="77777777" w:rsidR="004C7FB3" w:rsidRDefault="004C7FB3" w:rsidP="00A4645B">
            <w:pPr>
              <w:pStyle w:val="ListParagraph"/>
              <w:numPr>
                <w:ilvl w:val="1"/>
                <w:numId w:val="1"/>
              </w:numPr>
            </w:pPr>
          </w:p>
        </w:tc>
        <w:tc>
          <w:tcPr>
            <w:tcW w:w="7655" w:type="dxa"/>
            <w:tcBorders>
              <w:top w:val="nil"/>
              <w:left w:val="nil"/>
              <w:bottom w:val="nil"/>
              <w:right w:val="nil"/>
            </w:tcBorders>
          </w:tcPr>
          <w:p w14:paraId="1BE9C15C" w14:textId="77777777" w:rsidR="004C7FB3" w:rsidRDefault="004C7FB3" w:rsidP="270F4B04">
            <w:r>
              <w:t>SHARE Website</w:t>
            </w:r>
          </w:p>
          <w:p w14:paraId="4F30E919" w14:textId="226B3C20" w:rsidR="004C7FB3" w:rsidRDefault="004C7FB3" w:rsidP="270F4B04">
            <w:r>
              <w:t>If anyone has good practice cases that they would like to share in the Quality website please send them to PJ or CMK.</w:t>
            </w:r>
          </w:p>
          <w:p w14:paraId="7AEF341D" w14:textId="039D9384" w:rsidR="004C7FB3" w:rsidRDefault="004C7FB3" w:rsidP="270F4B04"/>
        </w:tc>
        <w:tc>
          <w:tcPr>
            <w:tcW w:w="1134" w:type="dxa"/>
            <w:tcBorders>
              <w:top w:val="nil"/>
              <w:left w:val="nil"/>
              <w:bottom w:val="nil"/>
              <w:right w:val="nil"/>
            </w:tcBorders>
          </w:tcPr>
          <w:p w14:paraId="45AF47C0" w14:textId="77777777" w:rsidR="004C7FB3" w:rsidRPr="00A4645B" w:rsidRDefault="004C7FB3" w:rsidP="00A4645B">
            <w:pPr>
              <w:jc w:val="center"/>
              <w:rPr>
                <w:b/>
              </w:rPr>
            </w:pPr>
          </w:p>
        </w:tc>
      </w:tr>
      <w:tr w:rsidR="00A97972" w14:paraId="1E99F8D1" w14:textId="77777777" w:rsidTr="007D2AEB">
        <w:tc>
          <w:tcPr>
            <w:tcW w:w="1129" w:type="dxa"/>
            <w:tcBorders>
              <w:top w:val="nil"/>
              <w:left w:val="nil"/>
              <w:bottom w:val="nil"/>
              <w:right w:val="nil"/>
            </w:tcBorders>
          </w:tcPr>
          <w:p w14:paraId="079D4017" w14:textId="77777777" w:rsidR="00A97972" w:rsidRDefault="00A97972" w:rsidP="00A4645B">
            <w:pPr>
              <w:pStyle w:val="ListParagraph"/>
              <w:numPr>
                <w:ilvl w:val="1"/>
                <w:numId w:val="1"/>
              </w:numPr>
            </w:pPr>
          </w:p>
        </w:tc>
        <w:tc>
          <w:tcPr>
            <w:tcW w:w="7655" w:type="dxa"/>
            <w:tcBorders>
              <w:top w:val="nil"/>
              <w:left w:val="nil"/>
              <w:bottom w:val="nil"/>
              <w:right w:val="nil"/>
            </w:tcBorders>
          </w:tcPr>
          <w:p w14:paraId="31B33730" w14:textId="77777777" w:rsidR="00A97972" w:rsidRDefault="00A97972" w:rsidP="270F4B04">
            <w:r>
              <w:t>PSU</w:t>
            </w:r>
          </w:p>
          <w:p w14:paraId="099E7DF5" w14:textId="43134127" w:rsidR="00A97972" w:rsidRDefault="00A97972" w:rsidP="270F4B04">
            <w:r>
              <w:t>The Performance Support Unit was launched today.</w:t>
            </w:r>
          </w:p>
          <w:p w14:paraId="36B0629C" w14:textId="24F9437B" w:rsidR="00A97972" w:rsidRDefault="00A97972" w:rsidP="270F4B04"/>
        </w:tc>
        <w:tc>
          <w:tcPr>
            <w:tcW w:w="1134" w:type="dxa"/>
            <w:tcBorders>
              <w:top w:val="nil"/>
              <w:left w:val="nil"/>
              <w:bottom w:val="nil"/>
              <w:right w:val="nil"/>
            </w:tcBorders>
          </w:tcPr>
          <w:p w14:paraId="27C3D39D" w14:textId="77777777" w:rsidR="00A97972" w:rsidRPr="00A4645B" w:rsidRDefault="00A97972" w:rsidP="00A4645B">
            <w:pPr>
              <w:jc w:val="center"/>
              <w:rPr>
                <w:b/>
              </w:rPr>
            </w:pPr>
          </w:p>
        </w:tc>
      </w:tr>
      <w:tr w:rsidR="00492880" w14:paraId="4FD0CC33" w14:textId="77777777" w:rsidTr="007D2AEB">
        <w:tc>
          <w:tcPr>
            <w:tcW w:w="1129" w:type="dxa"/>
            <w:tcBorders>
              <w:top w:val="nil"/>
              <w:left w:val="nil"/>
              <w:bottom w:val="nil"/>
              <w:right w:val="nil"/>
            </w:tcBorders>
          </w:tcPr>
          <w:p w14:paraId="4D5B1A29" w14:textId="77777777" w:rsidR="00492880" w:rsidRDefault="00492880" w:rsidP="004C7FB3">
            <w:pPr>
              <w:pStyle w:val="ListParagraph"/>
              <w:numPr>
                <w:ilvl w:val="0"/>
                <w:numId w:val="1"/>
              </w:numPr>
            </w:pPr>
          </w:p>
        </w:tc>
        <w:tc>
          <w:tcPr>
            <w:tcW w:w="7655" w:type="dxa"/>
            <w:tcBorders>
              <w:top w:val="nil"/>
              <w:left w:val="nil"/>
              <w:bottom w:val="nil"/>
              <w:right w:val="nil"/>
            </w:tcBorders>
          </w:tcPr>
          <w:p w14:paraId="3B076E30" w14:textId="0AC9B1CA" w:rsidR="00492880" w:rsidRPr="004C7FB3" w:rsidRDefault="00492880" w:rsidP="270F4B04">
            <w:pPr>
              <w:rPr>
                <w:b/>
              </w:rPr>
            </w:pPr>
            <w:r w:rsidRPr="004C7FB3">
              <w:rPr>
                <w:b/>
              </w:rPr>
              <w:t>TRAINING MANAGEMENT</w:t>
            </w:r>
          </w:p>
        </w:tc>
        <w:tc>
          <w:tcPr>
            <w:tcW w:w="1134" w:type="dxa"/>
            <w:tcBorders>
              <w:top w:val="nil"/>
              <w:left w:val="nil"/>
              <w:bottom w:val="nil"/>
              <w:right w:val="nil"/>
            </w:tcBorders>
          </w:tcPr>
          <w:p w14:paraId="271AF25E" w14:textId="77777777" w:rsidR="00492880" w:rsidRPr="00A4645B" w:rsidRDefault="00492880" w:rsidP="00A4645B">
            <w:pPr>
              <w:jc w:val="center"/>
              <w:rPr>
                <w:b/>
              </w:rPr>
            </w:pPr>
          </w:p>
        </w:tc>
      </w:tr>
      <w:tr w:rsidR="004C7FB3" w14:paraId="73BD56D0" w14:textId="77777777" w:rsidTr="007D2AEB">
        <w:tc>
          <w:tcPr>
            <w:tcW w:w="1129" w:type="dxa"/>
            <w:tcBorders>
              <w:top w:val="nil"/>
              <w:left w:val="nil"/>
              <w:bottom w:val="nil"/>
              <w:right w:val="nil"/>
            </w:tcBorders>
          </w:tcPr>
          <w:p w14:paraId="20B1E8BE" w14:textId="77777777" w:rsidR="004C7FB3" w:rsidRDefault="004C7FB3" w:rsidP="00492880">
            <w:pPr>
              <w:pStyle w:val="ListParagraph"/>
              <w:numPr>
                <w:ilvl w:val="1"/>
                <w:numId w:val="1"/>
              </w:numPr>
            </w:pPr>
          </w:p>
        </w:tc>
        <w:tc>
          <w:tcPr>
            <w:tcW w:w="7655" w:type="dxa"/>
            <w:tcBorders>
              <w:top w:val="nil"/>
              <w:left w:val="nil"/>
              <w:bottom w:val="nil"/>
              <w:right w:val="nil"/>
            </w:tcBorders>
          </w:tcPr>
          <w:p w14:paraId="7F87B929" w14:textId="77777777" w:rsidR="004C7FB3" w:rsidRPr="00492880" w:rsidRDefault="004C7FB3" w:rsidP="270F4B04">
            <w:r w:rsidRPr="00492880">
              <w:t>Recruitment Update</w:t>
            </w:r>
          </w:p>
          <w:p w14:paraId="0B933AAA" w14:textId="43442D98" w:rsidR="004C7FB3" w:rsidRDefault="00E3225D" w:rsidP="270F4B04">
            <w:r>
              <w:t>FD gave the current numbers for recruitment. It was noted that the numbers can still be increased -</w:t>
            </w:r>
            <w:r w:rsidR="00837994">
              <w:t xml:space="preserve"> </w:t>
            </w:r>
            <w:r>
              <w:t>to do so please contact the Regional TPM</w:t>
            </w:r>
            <w:r w:rsidR="00837994">
              <w:t xml:space="preserve"> Administrator</w:t>
            </w:r>
            <w:r>
              <w:t>.</w:t>
            </w:r>
          </w:p>
          <w:p w14:paraId="127D235C" w14:textId="77777777" w:rsidR="00E3225D" w:rsidRDefault="00E3225D" w:rsidP="00E3225D">
            <w:pPr>
              <w:pStyle w:val="ListParagraph"/>
              <w:numPr>
                <w:ilvl w:val="0"/>
                <w:numId w:val="2"/>
              </w:numPr>
            </w:pPr>
            <w:r>
              <w:t>Radiology: 13 in the West (of which 4 are expansion posts), 4 in the South East, 6 in the North (3 of the expansion posts), 2 in the East</w:t>
            </w:r>
          </w:p>
          <w:p w14:paraId="79D18493" w14:textId="77777777" w:rsidR="00E3225D" w:rsidRDefault="00E3225D" w:rsidP="00E3225D">
            <w:pPr>
              <w:pStyle w:val="ListParagraph"/>
              <w:numPr>
                <w:ilvl w:val="0"/>
                <w:numId w:val="2"/>
              </w:numPr>
            </w:pPr>
            <w:r>
              <w:t>Interventional Radiology: 1 per region, all expansion</w:t>
            </w:r>
          </w:p>
          <w:p w14:paraId="3EC97433" w14:textId="77777777" w:rsidR="00E3225D" w:rsidRDefault="00E3225D" w:rsidP="00E3225D">
            <w:pPr>
              <w:pStyle w:val="ListParagraph"/>
              <w:numPr>
                <w:ilvl w:val="0"/>
                <w:numId w:val="2"/>
              </w:numPr>
            </w:pPr>
            <w:r>
              <w:t>Histopathology: 6 in the West (2 expansion), 3 in the South East (2 expansion), 3 in the North (2 expansion), 3 in the East.</w:t>
            </w:r>
          </w:p>
          <w:p w14:paraId="55CC80CB" w14:textId="77777777" w:rsidR="00E3225D" w:rsidRDefault="00E3225D" w:rsidP="00E3225D">
            <w:pPr>
              <w:pStyle w:val="ListParagraph"/>
              <w:numPr>
                <w:ilvl w:val="0"/>
                <w:numId w:val="2"/>
              </w:numPr>
            </w:pPr>
            <w:r>
              <w:t>Chemical Pathology: 2</w:t>
            </w:r>
          </w:p>
          <w:p w14:paraId="6BAD0FDF" w14:textId="77777777" w:rsidR="00E3225D" w:rsidRDefault="00E3225D" w:rsidP="00E3225D">
            <w:pPr>
              <w:pStyle w:val="ListParagraph"/>
              <w:numPr>
                <w:ilvl w:val="0"/>
                <w:numId w:val="2"/>
              </w:numPr>
            </w:pPr>
            <w:r>
              <w:t>Combined Infection Training: 2 with ID/General Medicine – 1 in the East and 1 in the North. 6 with MMB/ID – 1 in the North, 2 in the South East and 3 in the West.</w:t>
            </w:r>
          </w:p>
          <w:p w14:paraId="7ACA6578" w14:textId="77777777" w:rsidR="00E3225D" w:rsidRDefault="00E3225D" w:rsidP="00E3225D">
            <w:pPr>
              <w:pStyle w:val="ListParagraph"/>
              <w:numPr>
                <w:ilvl w:val="0"/>
                <w:numId w:val="2"/>
              </w:numPr>
            </w:pPr>
            <w:r>
              <w:t>Virology: No posts as there are no CCTs this year.</w:t>
            </w:r>
          </w:p>
          <w:p w14:paraId="5A1226A5" w14:textId="77777777" w:rsidR="00E3225D" w:rsidRDefault="00E3225D" w:rsidP="00E3225D">
            <w:pPr>
              <w:pStyle w:val="ListParagraph"/>
              <w:numPr>
                <w:ilvl w:val="0"/>
                <w:numId w:val="2"/>
              </w:numPr>
            </w:pPr>
            <w:r>
              <w:t>Nuclear Medicine: 1 post</w:t>
            </w:r>
          </w:p>
          <w:p w14:paraId="084A248C" w14:textId="582EA293" w:rsidR="00EF4360" w:rsidRDefault="00EF4360" w:rsidP="00E3225D">
            <w:pPr>
              <w:pStyle w:val="ListParagraph"/>
              <w:numPr>
                <w:ilvl w:val="0"/>
                <w:numId w:val="2"/>
              </w:numPr>
            </w:pPr>
            <w:r>
              <w:t>Diagnostic Neuropath: 1 post</w:t>
            </w:r>
          </w:p>
          <w:p w14:paraId="101FD23F" w14:textId="502720B8" w:rsidR="00EC4EA0" w:rsidRDefault="00EC4EA0" w:rsidP="00EC4EA0"/>
          <w:p w14:paraId="081F0AE3" w14:textId="0333DBCB" w:rsidR="00EC4EA0" w:rsidRDefault="00EC4EA0" w:rsidP="00EC4EA0">
            <w:r>
              <w:lastRenderedPageBreak/>
              <w:t xml:space="preserve">It was clarified that, when a trainee goes OOP for one year or more, the Board can backfill the post. If it is less than one year, the post has to be filled with a locum. Backfills have to be recruited via the recruitment system either for August or February intake. </w:t>
            </w:r>
          </w:p>
          <w:p w14:paraId="77839B0A" w14:textId="0EDFB37E" w:rsidR="00492880" w:rsidRDefault="00492880" w:rsidP="00EC4EA0"/>
          <w:p w14:paraId="36F59FB2" w14:textId="1CF92253" w:rsidR="00492880" w:rsidRDefault="00492880" w:rsidP="00EC4EA0">
            <w:r>
              <w:t>Histopathology recruitment is currently taking place and it had been noticed that although there are less candidates, they seem to be of better quality. Over 70% of posts have been offered</w:t>
            </w:r>
            <w:r w:rsidR="00837994">
              <w:t xml:space="preserve"> already</w:t>
            </w:r>
            <w:r>
              <w:t>.</w:t>
            </w:r>
          </w:p>
          <w:p w14:paraId="67C7357A" w14:textId="605B7717" w:rsidR="00492880" w:rsidRDefault="00492880" w:rsidP="00EC4EA0"/>
          <w:p w14:paraId="2FF48B2B" w14:textId="2744FC7E" w:rsidR="00492880" w:rsidRDefault="00492880" w:rsidP="00EC4EA0">
            <w:r>
              <w:t xml:space="preserve">Radiology interviews will take place in the second half of February. </w:t>
            </w:r>
          </w:p>
          <w:p w14:paraId="643A78FE" w14:textId="42FA124E" w:rsidR="00EF4360" w:rsidRDefault="00EF4360" w:rsidP="00EF4360">
            <w:pPr>
              <w:pStyle w:val="ListParagraph"/>
              <w:ind w:left="360"/>
            </w:pPr>
          </w:p>
        </w:tc>
        <w:tc>
          <w:tcPr>
            <w:tcW w:w="1134" w:type="dxa"/>
            <w:tcBorders>
              <w:top w:val="nil"/>
              <w:left w:val="nil"/>
              <w:bottom w:val="nil"/>
              <w:right w:val="nil"/>
            </w:tcBorders>
          </w:tcPr>
          <w:p w14:paraId="32409C6A" w14:textId="77777777" w:rsidR="004C7FB3" w:rsidRPr="00A4645B" w:rsidRDefault="004C7FB3" w:rsidP="00A4645B">
            <w:pPr>
              <w:jc w:val="center"/>
              <w:rPr>
                <w:b/>
              </w:rPr>
            </w:pPr>
          </w:p>
        </w:tc>
      </w:tr>
      <w:tr w:rsidR="004C7FB3" w14:paraId="3C4FA88C" w14:textId="77777777" w:rsidTr="007D2AEB">
        <w:tc>
          <w:tcPr>
            <w:tcW w:w="1129" w:type="dxa"/>
            <w:tcBorders>
              <w:top w:val="nil"/>
              <w:left w:val="nil"/>
              <w:bottom w:val="nil"/>
              <w:right w:val="nil"/>
            </w:tcBorders>
          </w:tcPr>
          <w:p w14:paraId="48980D02" w14:textId="77777777" w:rsidR="004C7FB3" w:rsidRDefault="004C7FB3" w:rsidP="00492880">
            <w:pPr>
              <w:pStyle w:val="ListParagraph"/>
              <w:numPr>
                <w:ilvl w:val="1"/>
                <w:numId w:val="1"/>
              </w:numPr>
            </w:pPr>
          </w:p>
        </w:tc>
        <w:tc>
          <w:tcPr>
            <w:tcW w:w="7655" w:type="dxa"/>
            <w:tcBorders>
              <w:top w:val="nil"/>
              <w:left w:val="nil"/>
              <w:bottom w:val="nil"/>
              <w:right w:val="nil"/>
            </w:tcBorders>
          </w:tcPr>
          <w:p w14:paraId="4CB739C2" w14:textId="71893695" w:rsidR="004C7FB3" w:rsidRDefault="00492880" w:rsidP="270F4B04">
            <w:r>
              <w:t xml:space="preserve">Joined up ARCP Pilot </w:t>
            </w:r>
          </w:p>
          <w:p w14:paraId="1A17FAF1" w14:textId="77777777" w:rsidR="00492880" w:rsidRDefault="00492880" w:rsidP="270F4B04">
            <w:r>
              <w:t>MM is trying to set up a date to discuss the pilot. The group is keen to do the pilot in Histopathology, and they hope it will also go ahead for CIT. CMK will be included in the discussions.</w:t>
            </w:r>
          </w:p>
          <w:p w14:paraId="0C37DCF2" w14:textId="2EC36C21" w:rsidR="00492880" w:rsidRDefault="00492880" w:rsidP="270F4B04"/>
        </w:tc>
        <w:tc>
          <w:tcPr>
            <w:tcW w:w="1134" w:type="dxa"/>
            <w:tcBorders>
              <w:top w:val="nil"/>
              <w:left w:val="nil"/>
              <w:bottom w:val="nil"/>
              <w:right w:val="nil"/>
            </w:tcBorders>
          </w:tcPr>
          <w:p w14:paraId="5623F3DF" w14:textId="77777777" w:rsidR="004C7FB3" w:rsidRPr="00A4645B" w:rsidRDefault="004C7FB3" w:rsidP="00A4645B">
            <w:pPr>
              <w:jc w:val="center"/>
              <w:rPr>
                <w:b/>
              </w:rPr>
            </w:pPr>
          </w:p>
        </w:tc>
      </w:tr>
      <w:tr w:rsidR="00492880" w14:paraId="6A8D64DE" w14:textId="77777777" w:rsidTr="007D2AEB">
        <w:tc>
          <w:tcPr>
            <w:tcW w:w="1129" w:type="dxa"/>
            <w:tcBorders>
              <w:top w:val="nil"/>
              <w:left w:val="nil"/>
              <w:bottom w:val="nil"/>
              <w:right w:val="nil"/>
            </w:tcBorders>
          </w:tcPr>
          <w:p w14:paraId="6A89A0F9" w14:textId="77777777" w:rsidR="00492880" w:rsidRDefault="00492880" w:rsidP="00492880">
            <w:pPr>
              <w:pStyle w:val="ListParagraph"/>
              <w:numPr>
                <w:ilvl w:val="1"/>
                <w:numId w:val="1"/>
              </w:numPr>
            </w:pPr>
          </w:p>
        </w:tc>
        <w:tc>
          <w:tcPr>
            <w:tcW w:w="7655" w:type="dxa"/>
            <w:tcBorders>
              <w:top w:val="nil"/>
              <w:left w:val="nil"/>
              <w:bottom w:val="nil"/>
              <w:right w:val="nil"/>
            </w:tcBorders>
          </w:tcPr>
          <w:p w14:paraId="426700B9" w14:textId="37FFE1FF" w:rsidR="00492880" w:rsidRDefault="00492880" w:rsidP="270F4B04">
            <w:r>
              <w:t>Virology TPD</w:t>
            </w:r>
          </w:p>
          <w:p w14:paraId="6E8DD4D1" w14:textId="7460FF33" w:rsidR="00492880" w:rsidRDefault="00492880" w:rsidP="270F4B04">
            <w:r>
              <w:t>Dr Aitken is stepping down as TPD for Virology. The Board discussed whether it would be possible to replace this post with a joint CIT TPD, such as ID and Virology or similar. The post holder would still need to oversee all specialties. This needs further discussion. It was agreed to go ahead with the recruitment of a new Virology TPD.</w:t>
            </w:r>
          </w:p>
          <w:p w14:paraId="3CF16160" w14:textId="60053249" w:rsidR="00492880" w:rsidRDefault="00492880" w:rsidP="270F4B04"/>
        </w:tc>
        <w:tc>
          <w:tcPr>
            <w:tcW w:w="1134" w:type="dxa"/>
            <w:tcBorders>
              <w:top w:val="nil"/>
              <w:left w:val="nil"/>
              <w:bottom w:val="nil"/>
              <w:right w:val="nil"/>
            </w:tcBorders>
          </w:tcPr>
          <w:p w14:paraId="13316F74" w14:textId="77777777" w:rsidR="00492880" w:rsidRPr="00A4645B" w:rsidRDefault="00492880" w:rsidP="00A4645B">
            <w:pPr>
              <w:jc w:val="center"/>
              <w:rPr>
                <w:b/>
              </w:rPr>
            </w:pPr>
          </w:p>
        </w:tc>
      </w:tr>
      <w:tr w:rsidR="00492880" w14:paraId="355B5EB1" w14:textId="77777777" w:rsidTr="007D2AEB">
        <w:tc>
          <w:tcPr>
            <w:tcW w:w="1129" w:type="dxa"/>
            <w:tcBorders>
              <w:top w:val="nil"/>
              <w:left w:val="nil"/>
              <w:bottom w:val="nil"/>
              <w:right w:val="nil"/>
            </w:tcBorders>
          </w:tcPr>
          <w:p w14:paraId="6A343963" w14:textId="77777777" w:rsidR="00492880" w:rsidRDefault="00492880" w:rsidP="00492880">
            <w:pPr>
              <w:pStyle w:val="ListParagraph"/>
              <w:numPr>
                <w:ilvl w:val="0"/>
                <w:numId w:val="1"/>
              </w:numPr>
            </w:pPr>
          </w:p>
        </w:tc>
        <w:tc>
          <w:tcPr>
            <w:tcW w:w="7655" w:type="dxa"/>
            <w:tcBorders>
              <w:top w:val="nil"/>
              <w:left w:val="nil"/>
              <w:bottom w:val="nil"/>
              <w:right w:val="nil"/>
            </w:tcBorders>
          </w:tcPr>
          <w:p w14:paraId="322128B5" w14:textId="77777777" w:rsidR="00492880" w:rsidRDefault="00492880" w:rsidP="270F4B04">
            <w:pPr>
              <w:rPr>
                <w:b/>
              </w:rPr>
            </w:pPr>
            <w:r>
              <w:rPr>
                <w:b/>
              </w:rPr>
              <w:t>PROFESSIONAL DEVELOPMENT</w:t>
            </w:r>
          </w:p>
          <w:p w14:paraId="14C37046" w14:textId="77777777" w:rsidR="00492880" w:rsidRDefault="00492880" w:rsidP="270F4B04">
            <w:r>
              <w:t>No update</w:t>
            </w:r>
          </w:p>
          <w:p w14:paraId="708A85B2" w14:textId="77DA823E" w:rsidR="00492880" w:rsidRPr="00492880" w:rsidRDefault="00492880" w:rsidP="270F4B04"/>
        </w:tc>
        <w:tc>
          <w:tcPr>
            <w:tcW w:w="1134" w:type="dxa"/>
            <w:tcBorders>
              <w:top w:val="nil"/>
              <w:left w:val="nil"/>
              <w:bottom w:val="nil"/>
              <w:right w:val="nil"/>
            </w:tcBorders>
          </w:tcPr>
          <w:p w14:paraId="0D37EBBD" w14:textId="77777777" w:rsidR="00492880" w:rsidRPr="00A4645B" w:rsidRDefault="00492880" w:rsidP="00A4645B">
            <w:pPr>
              <w:jc w:val="center"/>
              <w:rPr>
                <w:b/>
              </w:rPr>
            </w:pPr>
          </w:p>
        </w:tc>
      </w:tr>
      <w:tr w:rsidR="00492880" w14:paraId="6AD1ECA1" w14:textId="77777777" w:rsidTr="007D2AEB">
        <w:tc>
          <w:tcPr>
            <w:tcW w:w="1129" w:type="dxa"/>
            <w:tcBorders>
              <w:top w:val="nil"/>
              <w:left w:val="nil"/>
              <w:bottom w:val="nil"/>
              <w:right w:val="nil"/>
            </w:tcBorders>
          </w:tcPr>
          <w:p w14:paraId="387F7C2B" w14:textId="77777777" w:rsidR="00492880" w:rsidRDefault="00492880" w:rsidP="00492880">
            <w:pPr>
              <w:pStyle w:val="ListParagraph"/>
              <w:numPr>
                <w:ilvl w:val="0"/>
                <w:numId w:val="1"/>
              </w:numPr>
            </w:pPr>
          </w:p>
        </w:tc>
        <w:tc>
          <w:tcPr>
            <w:tcW w:w="7655" w:type="dxa"/>
            <w:tcBorders>
              <w:top w:val="nil"/>
              <w:left w:val="nil"/>
              <w:bottom w:val="nil"/>
              <w:right w:val="nil"/>
            </w:tcBorders>
          </w:tcPr>
          <w:p w14:paraId="61C4253C" w14:textId="77777777" w:rsidR="00492880" w:rsidRDefault="00492880" w:rsidP="270F4B04">
            <w:pPr>
              <w:rPr>
                <w:b/>
              </w:rPr>
            </w:pPr>
            <w:r>
              <w:rPr>
                <w:b/>
              </w:rPr>
              <w:t>QUALITY</w:t>
            </w:r>
          </w:p>
          <w:p w14:paraId="693BB04F" w14:textId="77777777" w:rsidR="00492880" w:rsidRDefault="00492880" w:rsidP="270F4B04">
            <w:r>
              <w:t xml:space="preserve">The visit to MMB in QEH went well. There have been various improvements since last year’s visit. Work is still ongoing. A report will be available in the next couple of weeks. </w:t>
            </w:r>
          </w:p>
          <w:p w14:paraId="200928A8" w14:textId="77777777" w:rsidR="00492880" w:rsidRDefault="00492880" w:rsidP="270F4B04"/>
          <w:p w14:paraId="43A52EFA" w14:textId="17FC3B62" w:rsidR="00492880" w:rsidRDefault="00492880" w:rsidP="270F4B04">
            <w:r>
              <w:t xml:space="preserve">Scheduled visits to Radiology in Forth Valley and Histopathology </w:t>
            </w:r>
            <w:r w:rsidR="001F0738">
              <w:t xml:space="preserve">in Scotland </w:t>
            </w:r>
            <w:r w:rsidR="00D64C12">
              <w:t xml:space="preserve">are in the calendars. There will be other visits later in the year. </w:t>
            </w:r>
          </w:p>
          <w:p w14:paraId="573084D7" w14:textId="77777777" w:rsidR="00D64C12" w:rsidRDefault="00D64C12" w:rsidP="270F4B04"/>
          <w:p w14:paraId="3FBE3608" w14:textId="77777777" w:rsidR="00D64C12" w:rsidRDefault="00D64C12" w:rsidP="270F4B04">
            <w:r>
              <w:t xml:space="preserve">Trainee associates will be incorporated to Quality panels. </w:t>
            </w:r>
          </w:p>
          <w:p w14:paraId="49845015" w14:textId="77777777" w:rsidR="00D64C12" w:rsidRDefault="00D64C12" w:rsidP="270F4B04"/>
          <w:p w14:paraId="6A272B6D" w14:textId="67637251" w:rsidR="00D64C12" w:rsidRDefault="00D64C12" w:rsidP="270F4B04">
            <w:r>
              <w:t>There are no details available yet for the GMC Visit to Scotland later in the year.</w:t>
            </w:r>
          </w:p>
          <w:p w14:paraId="0DCB5763" w14:textId="3A97BC7F" w:rsidR="00D64C12" w:rsidRPr="00492880" w:rsidRDefault="00D64C12" w:rsidP="270F4B04"/>
        </w:tc>
        <w:tc>
          <w:tcPr>
            <w:tcW w:w="1134" w:type="dxa"/>
            <w:tcBorders>
              <w:top w:val="nil"/>
              <w:left w:val="nil"/>
              <w:bottom w:val="nil"/>
              <w:right w:val="nil"/>
            </w:tcBorders>
          </w:tcPr>
          <w:p w14:paraId="4CE43BAB" w14:textId="77777777" w:rsidR="00492880" w:rsidRPr="00A4645B" w:rsidRDefault="00492880" w:rsidP="00A4645B">
            <w:pPr>
              <w:jc w:val="center"/>
              <w:rPr>
                <w:b/>
              </w:rPr>
            </w:pPr>
          </w:p>
        </w:tc>
      </w:tr>
      <w:tr w:rsidR="00492880" w14:paraId="273E1C82" w14:textId="77777777" w:rsidTr="007D2AEB">
        <w:tc>
          <w:tcPr>
            <w:tcW w:w="1129" w:type="dxa"/>
            <w:tcBorders>
              <w:top w:val="nil"/>
              <w:left w:val="nil"/>
              <w:bottom w:val="nil"/>
              <w:right w:val="nil"/>
            </w:tcBorders>
          </w:tcPr>
          <w:p w14:paraId="126FD0B5" w14:textId="77777777" w:rsidR="00492880" w:rsidRDefault="00492880" w:rsidP="00492880">
            <w:pPr>
              <w:pStyle w:val="ListParagraph"/>
              <w:numPr>
                <w:ilvl w:val="0"/>
                <w:numId w:val="1"/>
              </w:numPr>
            </w:pPr>
          </w:p>
        </w:tc>
        <w:tc>
          <w:tcPr>
            <w:tcW w:w="7655" w:type="dxa"/>
            <w:tcBorders>
              <w:top w:val="nil"/>
              <w:left w:val="nil"/>
              <w:bottom w:val="nil"/>
              <w:right w:val="nil"/>
            </w:tcBorders>
          </w:tcPr>
          <w:p w14:paraId="0D6A4A1E" w14:textId="77777777" w:rsidR="00492880" w:rsidRDefault="00D64C12" w:rsidP="270F4B04">
            <w:pPr>
              <w:rPr>
                <w:b/>
              </w:rPr>
            </w:pPr>
            <w:r>
              <w:rPr>
                <w:b/>
              </w:rPr>
              <w:t>FACULTY DEVELOPMENT</w:t>
            </w:r>
          </w:p>
          <w:p w14:paraId="5C5118F5" w14:textId="77777777" w:rsidR="00D64C12" w:rsidRDefault="00D64C12" w:rsidP="270F4B04">
            <w:r>
              <w:t>No update</w:t>
            </w:r>
          </w:p>
          <w:p w14:paraId="66A658BD" w14:textId="722DA648" w:rsidR="00D64C12" w:rsidRPr="00D64C12" w:rsidRDefault="00D64C12" w:rsidP="270F4B04"/>
        </w:tc>
        <w:tc>
          <w:tcPr>
            <w:tcW w:w="1134" w:type="dxa"/>
            <w:tcBorders>
              <w:top w:val="nil"/>
              <w:left w:val="nil"/>
              <w:bottom w:val="nil"/>
              <w:right w:val="nil"/>
            </w:tcBorders>
          </w:tcPr>
          <w:p w14:paraId="16A73237" w14:textId="77777777" w:rsidR="00492880" w:rsidRPr="00A4645B" w:rsidRDefault="00492880" w:rsidP="00A4645B">
            <w:pPr>
              <w:jc w:val="center"/>
              <w:rPr>
                <w:b/>
              </w:rPr>
            </w:pPr>
          </w:p>
        </w:tc>
      </w:tr>
      <w:tr w:rsidR="00492880" w14:paraId="25009363" w14:textId="77777777" w:rsidTr="007D2AEB">
        <w:tc>
          <w:tcPr>
            <w:tcW w:w="1129" w:type="dxa"/>
            <w:tcBorders>
              <w:top w:val="nil"/>
              <w:left w:val="nil"/>
              <w:bottom w:val="nil"/>
              <w:right w:val="nil"/>
            </w:tcBorders>
          </w:tcPr>
          <w:p w14:paraId="14D8675E" w14:textId="77777777" w:rsidR="00492880" w:rsidRDefault="00492880" w:rsidP="00492880">
            <w:pPr>
              <w:pStyle w:val="ListParagraph"/>
              <w:numPr>
                <w:ilvl w:val="0"/>
                <w:numId w:val="1"/>
              </w:numPr>
            </w:pPr>
          </w:p>
        </w:tc>
        <w:tc>
          <w:tcPr>
            <w:tcW w:w="7655" w:type="dxa"/>
            <w:tcBorders>
              <w:top w:val="nil"/>
              <w:left w:val="nil"/>
              <w:bottom w:val="nil"/>
              <w:right w:val="nil"/>
            </w:tcBorders>
          </w:tcPr>
          <w:p w14:paraId="4905C489" w14:textId="77777777" w:rsidR="00492880" w:rsidRDefault="00D64C12" w:rsidP="270F4B04">
            <w:pPr>
              <w:rPr>
                <w:b/>
              </w:rPr>
            </w:pPr>
            <w:r>
              <w:rPr>
                <w:b/>
              </w:rPr>
              <w:t>STRATEGIC PLANNING AND DIRECTORATE SUPPORT</w:t>
            </w:r>
          </w:p>
          <w:p w14:paraId="6FF4A2FA" w14:textId="21EF6E3E" w:rsidR="00D64C12" w:rsidRDefault="00D64C12" w:rsidP="270F4B04">
            <w:r>
              <w:t xml:space="preserve">The Aberdeen region office has been temporarily relocated to ADEC until April, </w:t>
            </w:r>
            <w:r w:rsidR="001F0738">
              <w:t>while</w:t>
            </w:r>
            <w:r>
              <w:t xml:space="preserve"> refurbishment works are taking place in the deanery. Phone numbers remain the same at the moment. </w:t>
            </w:r>
          </w:p>
          <w:p w14:paraId="7964FCB0" w14:textId="77777777" w:rsidR="001F0738" w:rsidRDefault="001F0738" w:rsidP="270F4B04"/>
          <w:p w14:paraId="4D024735" w14:textId="06406879" w:rsidR="00D64C12" w:rsidRPr="00D64C12" w:rsidRDefault="00D64C12" w:rsidP="270F4B04"/>
        </w:tc>
        <w:tc>
          <w:tcPr>
            <w:tcW w:w="1134" w:type="dxa"/>
            <w:tcBorders>
              <w:top w:val="nil"/>
              <w:left w:val="nil"/>
              <w:bottom w:val="nil"/>
              <w:right w:val="nil"/>
            </w:tcBorders>
          </w:tcPr>
          <w:p w14:paraId="6B728FB9" w14:textId="77777777" w:rsidR="00492880" w:rsidRPr="00A4645B" w:rsidRDefault="00492880" w:rsidP="00A4645B">
            <w:pPr>
              <w:jc w:val="center"/>
              <w:rPr>
                <w:b/>
              </w:rPr>
            </w:pPr>
          </w:p>
        </w:tc>
      </w:tr>
      <w:tr w:rsidR="00D64C12" w14:paraId="30ADB87E" w14:textId="77777777" w:rsidTr="007D2AEB">
        <w:tc>
          <w:tcPr>
            <w:tcW w:w="1129" w:type="dxa"/>
            <w:tcBorders>
              <w:top w:val="nil"/>
              <w:left w:val="nil"/>
              <w:bottom w:val="nil"/>
              <w:right w:val="nil"/>
            </w:tcBorders>
          </w:tcPr>
          <w:p w14:paraId="312940F7" w14:textId="77777777" w:rsidR="00D64C12" w:rsidRDefault="00D64C12" w:rsidP="00492880">
            <w:pPr>
              <w:pStyle w:val="ListParagraph"/>
              <w:numPr>
                <w:ilvl w:val="0"/>
                <w:numId w:val="1"/>
              </w:numPr>
            </w:pPr>
          </w:p>
        </w:tc>
        <w:tc>
          <w:tcPr>
            <w:tcW w:w="7655" w:type="dxa"/>
            <w:tcBorders>
              <w:top w:val="nil"/>
              <w:left w:val="nil"/>
              <w:bottom w:val="nil"/>
              <w:right w:val="nil"/>
            </w:tcBorders>
          </w:tcPr>
          <w:p w14:paraId="16AE00CD" w14:textId="7B7F8748" w:rsidR="00D64C12" w:rsidRDefault="00D64C12" w:rsidP="0038651A">
            <w:pPr>
              <w:rPr>
                <w:b/>
              </w:rPr>
            </w:pPr>
            <w:r>
              <w:rPr>
                <w:b/>
              </w:rPr>
              <w:t>U</w:t>
            </w:r>
            <w:r w:rsidR="0038651A">
              <w:rPr>
                <w:b/>
              </w:rPr>
              <w:t>pdates</w:t>
            </w:r>
          </w:p>
        </w:tc>
        <w:tc>
          <w:tcPr>
            <w:tcW w:w="1134" w:type="dxa"/>
            <w:tcBorders>
              <w:top w:val="nil"/>
              <w:left w:val="nil"/>
              <w:bottom w:val="nil"/>
              <w:right w:val="nil"/>
            </w:tcBorders>
          </w:tcPr>
          <w:p w14:paraId="2C616D60" w14:textId="77777777" w:rsidR="00D64C12" w:rsidRPr="00A4645B" w:rsidRDefault="00D64C12" w:rsidP="00A4645B">
            <w:pPr>
              <w:jc w:val="center"/>
              <w:rPr>
                <w:b/>
              </w:rPr>
            </w:pPr>
          </w:p>
        </w:tc>
      </w:tr>
      <w:tr w:rsidR="00D64C12" w14:paraId="70945057" w14:textId="77777777" w:rsidTr="007D2AEB">
        <w:tc>
          <w:tcPr>
            <w:tcW w:w="1129" w:type="dxa"/>
            <w:tcBorders>
              <w:top w:val="nil"/>
              <w:left w:val="nil"/>
              <w:bottom w:val="nil"/>
              <w:right w:val="nil"/>
            </w:tcBorders>
          </w:tcPr>
          <w:p w14:paraId="138B9198" w14:textId="77777777" w:rsidR="00D64C12" w:rsidRDefault="00D64C12" w:rsidP="0038651A">
            <w:pPr>
              <w:pStyle w:val="ListParagraph"/>
              <w:numPr>
                <w:ilvl w:val="1"/>
                <w:numId w:val="1"/>
              </w:numPr>
            </w:pPr>
          </w:p>
        </w:tc>
        <w:tc>
          <w:tcPr>
            <w:tcW w:w="7655" w:type="dxa"/>
            <w:tcBorders>
              <w:top w:val="nil"/>
              <w:left w:val="nil"/>
              <w:bottom w:val="nil"/>
              <w:right w:val="nil"/>
            </w:tcBorders>
          </w:tcPr>
          <w:p w14:paraId="5D10ED7C" w14:textId="77777777" w:rsidR="00D64C12" w:rsidRDefault="0038651A" w:rsidP="270F4B04">
            <w:r>
              <w:t>LDD</w:t>
            </w:r>
          </w:p>
          <w:p w14:paraId="1952DBFC" w14:textId="5A3E635D" w:rsidR="0038651A" w:rsidRDefault="0038651A" w:rsidP="270F4B04">
            <w:r>
              <w:t>No further update</w:t>
            </w:r>
          </w:p>
          <w:p w14:paraId="6C5D2332" w14:textId="46F0A766" w:rsidR="0038651A" w:rsidRPr="0038651A" w:rsidRDefault="0038651A" w:rsidP="270F4B04"/>
        </w:tc>
        <w:tc>
          <w:tcPr>
            <w:tcW w:w="1134" w:type="dxa"/>
            <w:tcBorders>
              <w:top w:val="nil"/>
              <w:left w:val="nil"/>
              <w:bottom w:val="nil"/>
              <w:right w:val="nil"/>
            </w:tcBorders>
          </w:tcPr>
          <w:p w14:paraId="4C1C3118" w14:textId="77777777" w:rsidR="00D64C12" w:rsidRPr="00A4645B" w:rsidRDefault="00D64C12" w:rsidP="00A4645B">
            <w:pPr>
              <w:jc w:val="center"/>
              <w:rPr>
                <w:b/>
              </w:rPr>
            </w:pPr>
          </w:p>
        </w:tc>
      </w:tr>
      <w:tr w:rsidR="00D64C12" w14:paraId="799801E1" w14:textId="77777777" w:rsidTr="007D2AEB">
        <w:tc>
          <w:tcPr>
            <w:tcW w:w="1129" w:type="dxa"/>
            <w:tcBorders>
              <w:top w:val="nil"/>
              <w:left w:val="nil"/>
              <w:bottom w:val="nil"/>
              <w:right w:val="nil"/>
            </w:tcBorders>
          </w:tcPr>
          <w:p w14:paraId="04DB05A8" w14:textId="77777777" w:rsidR="00D64C12" w:rsidRDefault="00D64C12" w:rsidP="0038651A">
            <w:pPr>
              <w:pStyle w:val="ListParagraph"/>
              <w:numPr>
                <w:ilvl w:val="1"/>
                <w:numId w:val="1"/>
              </w:numPr>
            </w:pPr>
          </w:p>
        </w:tc>
        <w:tc>
          <w:tcPr>
            <w:tcW w:w="7655" w:type="dxa"/>
            <w:tcBorders>
              <w:top w:val="nil"/>
              <w:left w:val="nil"/>
              <w:bottom w:val="nil"/>
              <w:right w:val="nil"/>
            </w:tcBorders>
          </w:tcPr>
          <w:p w14:paraId="3C3C6D81" w14:textId="77777777" w:rsidR="00D64C12" w:rsidRDefault="0038651A" w:rsidP="270F4B04">
            <w:r w:rsidRPr="0038651A">
              <w:t>Histopathology</w:t>
            </w:r>
          </w:p>
          <w:p w14:paraId="0BDDFE37" w14:textId="77777777" w:rsidR="0038651A" w:rsidRDefault="0038651A" w:rsidP="270F4B04">
            <w:r>
              <w:t>No further update.</w:t>
            </w:r>
          </w:p>
          <w:p w14:paraId="6174AECF" w14:textId="1BD9C16C" w:rsidR="0038651A" w:rsidRPr="0038651A" w:rsidRDefault="0038651A" w:rsidP="270F4B04"/>
        </w:tc>
        <w:tc>
          <w:tcPr>
            <w:tcW w:w="1134" w:type="dxa"/>
            <w:tcBorders>
              <w:top w:val="nil"/>
              <w:left w:val="nil"/>
              <w:bottom w:val="nil"/>
              <w:right w:val="nil"/>
            </w:tcBorders>
          </w:tcPr>
          <w:p w14:paraId="54631E8E" w14:textId="77777777" w:rsidR="00D64C12" w:rsidRPr="00A4645B" w:rsidRDefault="00D64C12" w:rsidP="00A4645B">
            <w:pPr>
              <w:jc w:val="center"/>
              <w:rPr>
                <w:b/>
              </w:rPr>
            </w:pPr>
          </w:p>
        </w:tc>
      </w:tr>
      <w:tr w:rsidR="0038651A" w14:paraId="4817A633" w14:textId="77777777" w:rsidTr="007D2AEB">
        <w:tc>
          <w:tcPr>
            <w:tcW w:w="1129" w:type="dxa"/>
            <w:tcBorders>
              <w:top w:val="nil"/>
              <w:left w:val="nil"/>
              <w:bottom w:val="nil"/>
              <w:right w:val="nil"/>
            </w:tcBorders>
          </w:tcPr>
          <w:p w14:paraId="03B900DA" w14:textId="77777777" w:rsidR="0038651A" w:rsidRDefault="0038651A" w:rsidP="0038651A">
            <w:pPr>
              <w:pStyle w:val="ListParagraph"/>
              <w:numPr>
                <w:ilvl w:val="1"/>
                <w:numId w:val="1"/>
              </w:numPr>
            </w:pPr>
          </w:p>
        </w:tc>
        <w:tc>
          <w:tcPr>
            <w:tcW w:w="7655" w:type="dxa"/>
            <w:tcBorders>
              <w:top w:val="nil"/>
              <w:left w:val="nil"/>
              <w:bottom w:val="nil"/>
              <w:right w:val="nil"/>
            </w:tcBorders>
          </w:tcPr>
          <w:p w14:paraId="23B48125" w14:textId="77777777" w:rsidR="0038651A" w:rsidRDefault="0038651A" w:rsidP="270F4B04">
            <w:r>
              <w:t>Diagnostics Neuropathology</w:t>
            </w:r>
          </w:p>
          <w:p w14:paraId="6D3331F5" w14:textId="77777777" w:rsidR="0038651A" w:rsidRDefault="0038651A" w:rsidP="270F4B04">
            <w:r>
              <w:t>No further update.</w:t>
            </w:r>
          </w:p>
          <w:p w14:paraId="6B626410" w14:textId="07EEBF72" w:rsidR="0038651A" w:rsidRPr="0038651A" w:rsidRDefault="0038651A" w:rsidP="270F4B04"/>
        </w:tc>
        <w:tc>
          <w:tcPr>
            <w:tcW w:w="1134" w:type="dxa"/>
            <w:tcBorders>
              <w:top w:val="nil"/>
              <w:left w:val="nil"/>
              <w:bottom w:val="nil"/>
              <w:right w:val="nil"/>
            </w:tcBorders>
          </w:tcPr>
          <w:p w14:paraId="38A5B4D8" w14:textId="77777777" w:rsidR="0038651A" w:rsidRPr="00A4645B" w:rsidRDefault="0038651A" w:rsidP="00A4645B">
            <w:pPr>
              <w:jc w:val="center"/>
              <w:rPr>
                <w:b/>
              </w:rPr>
            </w:pPr>
          </w:p>
        </w:tc>
      </w:tr>
      <w:tr w:rsidR="0038651A" w14:paraId="7FCDC0E6" w14:textId="77777777" w:rsidTr="007D2AEB">
        <w:tc>
          <w:tcPr>
            <w:tcW w:w="1129" w:type="dxa"/>
            <w:tcBorders>
              <w:top w:val="nil"/>
              <w:left w:val="nil"/>
              <w:bottom w:val="nil"/>
              <w:right w:val="nil"/>
            </w:tcBorders>
          </w:tcPr>
          <w:p w14:paraId="4E4FC34D" w14:textId="77777777" w:rsidR="0038651A" w:rsidRDefault="0038651A" w:rsidP="0038651A">
            <w:pPr>
              <w:pStyle w:val="ListParagraph"/>
              <w:numPr>
                <w:ilvl w:val="1"/>
                <w:numId w:val="1"/>
              </w:numPr>
            </w:pPr>
          </w:p>
        </w:tc>
        <w:tc>
          <w:tcPr>
            <w:tcW w:w="7655" w:type="dxa"/>
            <w:tcBorders>
              <w:top w:val="nil"/>
              <w:left w:val="nil"/>
              <w:bottom w:val="nil"/>
              <w:right w:val="nil"/>
            </w:tcBorders>
          </w:tcPr>
          <w:p w14:paraId="002A96E5" w14:textId="77777777" w:rsidR="0038651A" w:rsidRDefault="0038651A" w:rsidP="270F4B04">
            <w:r>
              <w:t>Paediatric Pathology</w:t>
            </w:r>
          </w:p>
          <w:p w14:paraId="0D3FF6EA" w14:textId="77777777" w:rsidR="0038651A" w:rsidRDefault="0038651A" w:rsidP="270F4B04">
            <w:r>
              <w:t>No further update.</w:t>
            </w:r>
          </w:p>
          <w:p w14:paraId="65043377" w14:textId="6E033CCA" w:rsidR="00D25363" w:rsidRPr="0038651A" w:rsidRDefault="00D25363" w:rsidP="270F4B04"/>
        </w:tc>
        <w:tc>
          <w:tcPr>
            <w:tcW w:w="1134" w:type="dxa"/>
            <w:tcBorders>
              <w:top w:val="nil"/>
              <w:left w:val="nil"/>
              <w:bottom w:val="nil"/>
              <w:right w:val="nil"/>
            </w:tcBorders>
          </w:tcPr>
          <w:p w14:paraId="6D375BE8" w14:textId="77777777" w:rsidR="0038651A" w:rsidRPr="00A4645B" w:rsidRDefault="0038651A" w:rsidP="00A4645B">
            <w:pPr>
              <w:jc w:val="center"/>
              <w:rPr>
                <w:b/>
              </w:rPr>
            </w:pPr>
          </w:p>
        </w:tc>
      </w:tr>
      <w:tr w:rsidR="0038651A" w14:paraId="0433EB0E" w14:textId="77777777" w:rsidTr="007D2AEB">
        <w:tc>
          <w:tcPr>
            <w:tcW w:w="1129" w:type="dxa"/>
            <w:tcBorders>
              <w:top w:val="nil"/>
              <w:left w:val="nil"/>
              <w:bottom w:val="nil"/>
              <w:right w:val="nil"/>
            </w:tcBorders>
          </w:tcPr>
          <w:p w14:paraId="5BB90923" w14:textId="77777777" w:rsidR="0038651A" w:rsidRDefault="0038651A" w:rsidP="0038651A">
            <w:pPr>
              <w:pStyle w:val="ListParagraph"/>
              <w:numPr>
                <w:ilvl w:val="1"/>
                <w:numId w:val="1"/>
              </w:numPr>
            </w:pPr>
          </w:p>
        </w:tc>
        <w:tc>
          <w:tcPr>
            <w:tcW w:w="7655" w:type="dxa"/>
            <w:tcBorders>
              <w:top w:val="nil"/>
              <w:left w:val="nil"/>
              <w:bottom w:val="nil"/>
              <w:right w:val="nil"/>
            </w:tcBorders>
          </w:tcPr>
          <w:p w14:paraId="5F82FA56" w14:textId="77777777" w:rsidR="0038651A" w:rsidRDefault="00D25363" w:rsidP="270F4B04">
            <w:r>
              <w:t>Forensic Histopathology</w:t>
            </w:r>
          </w:p>
          <w:p w14:paraId="609D0DBB" w14:textId="77777777" w:rsidR="00D25363" w:rsidRDefault="00D25363" w:rsidP="270F4B04">
            <w:r>
              <w:t>Matthew Lyall has handed in his resignation. Recruitment for a replacement is in place.</w:t>
            </w:r>
          </w:p>
          <w:p w14:paraId="64A07A8D" w14:textId="6B70C75C" w:rsidR="00D25363" w:rsidRPr="0038651A" w:rsidRDefault="00D25363" w:rsidP="270F4B04"/>
        </w:tc>
        <w:tc>
          <w:tcPr>
            <w:tcW w:w="1134" w:type="dxa"/>
            <w:tcBorders>
              <w:top w:val="nil"/>
              <w:left w:val="nil"/>
              <w:bottom w:val="nil"/>
              <w:right w:val="nil"/>
            </w:tcBorders>
          </w:tcPr>
          <w:p w14:paraId="7B8A5035" w14:textId="77777777" w:rsidR="0038651A" w:rsidRPr="00A4645B" w:rsidRDefault="0038651A" w:rsidP="00A4645B">
            <w:pPr>
              <w:jc w:val="center"/>
              <w:rPr>
                <w:b/>
              </w:rPr>
            </w:pPr>
          </w:p>
        </w:tc>
      </w:tr>
      <w:tr w:rsidR="0038651A" w14:paraId="1EA406E4" w14:textId="77777777" w:rsidTr="007D2AEB">
        <w:tc>
          <w:tcPr>
            <w:tcW w:w="1129" w:type="dxa"/>
            <w:tcBorders>
              <w:top w:val="nil"/>
              <w:left w:val="nil"/>
              <w:bottom w:val="nil"/>
              <w:right w:val="nil"/>
            </w:tcBorders>
          </w:tcPr>
          <w:p w14:paraId="56CD3DD8" w14:textId="77777777" w:rsidR="0038651A" w:rsidRDefault="0038651A" w:rsidP="0038651A">
            <w:pPr>
              <w:pStyle w:val="ListParagraph"/>
              <w:numPr>
                <w:ilvl w:val="1"/>
                <w:numId w:val="1"/>
              </w:numPr>
            </w:pPr>
          </w:p>
        </w:tc>
        <w:tc>
          <w:tcPr>
            <w:tcW w:w="7655" w:type="dxa"/>
            <w:tcBorders>
              <w:top w:val="nil"/>
              <w:left w:val="nil"/>
              <w:bottom w:val="nil"/>
              <w:right w:val="nil"/>
            </w:tcBorders>
          </w:tcPr>
          <w:p w14:paraId="7E15C1BA" w14:textId="77777777" w:rsidR="00983D2D" w:rsidRDefault="00983D2D" w:rsidP="270F4B04">
            <w:r>
              <w:t>Radiology</w:t>
            </w:r>
          </w:p>
          <w:p w14:paraId="1A957C5C" w14:textId="77777777" w:rsidR="00983D2D" w:rsidRDefault="00983D2D" w:rsidP="270F4B04">
            <w:r>
              <w:t xml:space="preserve">Staffing issues in the South East continue, with 17 consultant vacancies at present. This is starting to impact on training. </w:t>
            </w:r>
          </w:p>
          <w:p w14:paraId="67242D0E" w14:textId="77777777" w:rsidR="00983D2D" w:rsidRDefault="00983D2D" w:rsidP="270F4B04">
            <w:r>
              <w:t>In the West there is a chronic shortage of office space, which PJ will bring up in the report to SAMD.</w:t>
            </w:r>
          </w:p>
          <w:p w14:paraId="2186CBC6" w14:textId="77777777" w:rsidR="00983D2D" w:rsidRDefault="00983D2D" w:rsidP="270F4B04">
            <w:r>
              <w:t>Radiographer reporting is another issue as trainees are not happy with them.</w:t>
            </w:r>
          </w:p>
          <w:p w14:paraId="1ACA656E" w14:textId="307C098A" w:rsidR="0038651A" w:rsidRPr="0038651A" w:rsidRDefault="0038651A" w:rsidP="270F4B04"/>
        </w:tc>
        <w:tc>
          <w:tcPr>
            <w:tcW w:w="1134" w:type="dxa"/>
            <w:tcBorders>
              <w:top w:val="nil"/>
              <w:left w:val="nil"/>
              <w:bottom w:val="nil"/>
              <w:right w:val="nil"/>
            </w:tcBorders>
          </w:tcPr>
          <w:p w14:paraId="2705B940" w14:textId="77777777" w:rsidR="0038651A" w:rsidRDefault="0038651A" w:rsidP="00A4645B">
            <w:pPr>
              <w:jc w:val="center"/>
              <w:rPr>
                <w:b/>
              </w:rPr>
            </w:pPr>
          </w:p>
          <w:p w14:paraId="067F3685" w14:textId="77777777" w:rsidR="001F0738" w:rsidRDefault="001F0738" w:rsidP="00A4645B">
            <w:pPr>
              <w:jc w:val="center"/>
              <w:rPr>
                <w:b/>
              </w:rPr>
            </w:pPr>
          </w:p>
          <w:p w14:paraId="19A9BB20" w14:textId="77777777" w:rsidR="001F0738" w:rsidRDefault="001F0738" w:rsidP="00A4645B">
            <w:pPr>
              <w:jc w:val="center"/>
              <w:rPr>
                <w:b/>
              </w:rPr>
            </w:pPr>
          </w:p>
          <w:p w14:paraId="61A1FE42" w14:textId="43521EA1" w:rsidR="001F0738" w:rsidRPr="00A4645B" w:rsidRDefault="001F0738" w:rsidP="001F0738">
            <w:pPr>
              <w:rPr>
                <w:b/>
              </w:rPr>
            </w:pPr>
          </w:p>
        </w:tc>
      </w:tr>
      <w:tr w:rsidR="0038651A" w14:paraId="39C7595D" w14:textId="77777777" w:rsidTr="007D2AEB">
        <w:tc>
          <w:tcPr>
            <w:tcW w:w="1129" w:type="dxa"/>
            <w:tcBorders>
              <w:top w:val="nil"/>
              <w:left w:val="nil"/>
              <w:bottom w:val="nil"/>
              <w:right w:val="nil"/>
            </w:tcBorders>
          </w:tcPr>
          <w:p w14:paraId="6785D636" w14:textId="77777777" w:rsidR="0038651A" w:rsidRDefault="0038651A" w:rsidP="0038651A">
            <w:pPr>
              <w:pStyle w:val="ListParagraph"/>
              <w:numPr>
                <w:ilvl w:val="1"/>
                <w:numId w:val="1"/>
              </w:numPr>
            </w:pPr>
          </w:p>
        </w:tc>
        <w:tc>
          <w:tcPr>
            <w:tcW w:w="7655" w:type="dxa"/>
            <w:tcBorders>
              <w:top w:val="nil"/>
              <w:left w:val="nil"/>
              <w:bottom w:val="nil"/>
              <w:right w:val="nil"/>
            </w:tcBorders>
          </w:tcPr>
          <w:p w14:paraId="4E2A8669" w14:textId="77777777" w:rsidR="00983D2D" w:rsidRDefault="00983D2D" w:rsidP="270F4B04">
            <w:r>
              <w:t>Medical Microbiology</w:t>
            </w:r>
          </w:p>
          <w:p w14:paraId="4FE72D1B" w14:textId="77777777" w:rsidR="00983D2D" w:rsidRDefault="00983D2D" w:rsidP="270F4B04">
            <w:r>
              <w:t>No further update.</w:t>
            </w:r>
          </w:p>
          <w:p w14:paraId="1477CE8E" w14:textId="1DA7F824" w:rsidR="0038651A" w:rsidRPr="0038651A" w:rsidRDefault="0038651A" w:rsidP="270F4B04"/>
        </w:tc>
        <w:tc>
          <w:tcPr>
            <w:tcW w:w="1134" w:type="dxa"/>
            <w:tcBorders>
              <w:top w:val="nil"/>
              <w:left w:val="nil"/>
              <w:bottom w:val="nil"/>
              <w:right w:val="nil"/>
            </w:tcBorders>
          </w:tcPr>
          <w:p w14:paraId="533BD781" w14:textId="77777777" w:rsidR="0038651A" w:rsidRPr="00A4645B" w:rsidRDefault="0038651A" w:rsidP="00A4645B">
            <w:pPr>
              <w:jc w:val="center"/>
              <w:rPr>
                <w:b/>
              </w:rPr>
            </w:pPr>
          </w:p>
        </w:tc>
      </w:tr>
      <w:tr w:rsidR="0038651A" w14:paraId="547EBAC5" w14:textId="77777777" w:rsidTr="007D2AEB">
        <w:tc>
          <w:tcPr>
            <w:tcW w:w="1129" w:type="dxa"/>
            <w:tcBorders>
              <w:top w:val="nil"/>
              <w:left w:val="nil"/>
              <w:bottom w:val="nil"/>
              <w:right w:val="nil"/>
            </w:tcBorders>
          </w:tcPr>
          <w:p w14:paraId="2FBC1509" w14:textId="77777777" w:rsidR="0038651A" w:rsidRDefault="0038651A" w:rsidP="0038651A">
            <w:pPr>
              <w:pStyle w:val="ListParagraph"/>
              <w:numPr>
                <w:ilvl w:val="1"/>
                <w:numId w:val="1"/>
              </w:numPr>
            </w:pPr>
          </w:p>
        </w:tc>
        <w:tc>
          <w:tcPr>
            <w:tcW w:w="7655" w:type="dxa"/>
            <w:tcBorders>
              <w:top w:val="nil"/>
              <w:left w:val="nil"/>
              <w:bottom w:val="nil"/>
              <w:right w:val="nil"/>
            </w:tcBorders>
          </w:tcPr>
          <w:p w14:paraId="4CFB256C" w14:textId="77777777" w:rsidR="00983D2D" w:rsidRDefault="00983D2D" w:rsidP="270F4B04">
            <w:r>
              <w:t>Virology</w:t>
            </w:r>
          </w:p>
          <w:p w14:paraId="7F841DFF" w14:textId="77777777" w:rsidR="00983D2D" w:rsidRDefault="00983D2D" w:rsidP="270F4B04">
            <w:r>
              <w:t xml:space="preserve">No further update. </w:t>
            </w:r>
          </w:p>
          <w:p w14:paraId="5D7FC259" w14:textId="031609D7" w:rsidR="0038651A" w:rsidRPr="0038651A" w:rsidRDefault="0038651A" w:rsidP="270F4B04"/>
        </w:tc>
        <w:tc>
          <w:tcPr>
            <w:tcW w:w="1134" w:type="dxa"/>
            <w:tcBorders>
              <w:top w:val="nil"/>
              <w:left w:val="nil"/>
              <w:bottom w:val="nil"/>
              <w:right w:val="nil"/>
            </w:tcBorders>
          </w:tcPr>
          <w:p w14:paraId="094FC67F" w14:textId="77777777" w:rsidR="0038651A" w:rsidRPr="00A4645B" w:rsidRDefault="0038651A" w:rsidP="00A4645B">
            <w:pPr>
              <w:jc w:val="center"/>
              <w:rPr>
                <w:b/>
              </w:rPr>
            </w:pPr>
          </w:p>
        </w:tc>
      </w:tr>
      <w:tr w:rsidR="0038651A" w14:paraId="15E71DEF" w14:textId="77777777" w:rsidTr="007D2AEB">
        <w:tc>
          <w:tcPr>
            <w:tcW w:w="1129" w:type="dxa"/>
            <w:tcBorders>
              <w:top w:val="nil"/>
              <w:left w:val="nil"/>
              <w:bottom w:val="nil"/>
              <w:right w:val="nil"/>
            </w:tcBorders>
          </w:tcPr>
          <w:p w14:paraId="45020D98" w14:textId="77777777" w:rsidR="0038651A" w:rsidRDefault="0038651A" w:rsidP="0038651A">
            <w:pPr>
              <w:pStyle w:val="ListParagraph"/>
              <w:numPr>
                <w:ilvl w:val="1"/>
                <w:numId w:val="1"/>
              </w:numPr>
            </w:pPr>
          </w:p>
        </w:tc>
        <w:tc>
          <w:tcPr>
            <w:tcW w:w="7655" w:type="dxa"/>
            <w:tcBorders>
              <w:top w:val="nil"/>
              <w:left w:val="nil"/>
              <w:bottom w:val="nil"/>
              <w:right w:val="nil"/>
            </w:tcBorders>
          </w:tcPr>
          <w:p w14:paraId="4DFE9355" w14:textId="77777777" w:rsidR="00111F71" w:rsidRDefault="00111F71" w:rsidP="270F4B04">
            <w:r>
              <w:t>Combined Infection Training</w:t>
            </w:r>
          </w:p>
          <w:p w14:paraId="64395749" w14:textId="77777777" w:rsidR="00111F71" w:rsidRDefault="00111F71" w:rsidP="270F4B04">
            <w:r>
              <w:t>There is now an STC for CIT.</w:t>
            </w:r>
          </w:p>
          <w:p w14:paraId="7AD05F73" w14:textId="5F33E086" w:rsidR="0038651A" w:rsidRPr="0038651A" w:rsidRDefault="0038651A" w:rsidP="270F4B04"/>
        </w:tc>
        <w:tc>
          <w:tcPr>
            <w:tcW w:w="1134" w:type="dxa"/>
            <w:tcBorders>
              <w:top w:val="nil"/>
              <w:left w:val="nil"/>
              <w:bottom w:val="nil"/>
              <w:right w:val="nil"/>
            </w:tcBorders>
          </w:tcPr>
          <w:p w14:paraId="26EAB9D0" w14:textId="77777777" w:rsidR="0038651A" w:rsidRPr="00A4645B" w:rsidRDefault="0038651A" w:rsidP="00A4645B">
            <w:pPr>
              <w:jc w:val="center"/>
              <w:rPr>
                <w:b/>
              </w:rPr>
            </w:pPr>
          </w:p>
        </w:tc>
      </w:tr>
      <w:tr w:rsidR="0038651A" w14:paraId="5C3ABD91" w14:textId="77777777" w:rsidTr="007D2AEB">
        <w:tc>
          <w:tcPr>
            <w:tcW w:w="1129" w:type="dxa"/>
            <w:tcBorders>
              <w:top w:val="nil"/>
              <w:left w:val="nil"/>
              <w:bottom w:val="nil"/>
              <w:right w:val="nil"/>
            </w:tcBorders>
          </w:tcPr>
          <w:p w14:paraId="5E74043B" w14:textId="77777777" w:rsidR="0038651A" w:rsidRDefault="0038651A" w:rsidP="0038651A">
            <w:pPr>
              <w:pStyle w:val="ListParagraph"/>
              <w:numPr>
                <w:ilvl w:val="1"/>
                <w:numId w:val="1"/>
              </w:numPr>
            </w:pPr>
          </w:p>
        </w:tc>
        <w:tc>
          <w:tcPr>
            <w:tcW w:w="7655" w:type="dxa"/>
            <w:tcBorders>
              <w:top w:val="nil"/>
              <w:left w:val="nil"/>
              <w:bottom w:val="nil"/>
              <w:right w:val="nil"/>
            </w:tcBorders>
          </w:tcPr>
          <w:p w14:paraId="32230357" w14:textId="77777777" w:rsidR="00111F71" w:rsidRDefault="00111F71" w:rsidP="270F4B04">
            <w:r>
              <w:t>Chemical Pathology and Metabolic Medicine</w:t>
            </w:r>
          </w:p>
          <w:p w14:paraId="5596B05B" w14:textId="77777777" w:rsidR="00111F71" w:rsidRDefault="00111F71" w:rsidP="00111F71">
            <w:r>
              <w:t>There is a good candidate for ST1 and two for ST3. There are ongoing discussions about whether there should be ST1 trainees in these joint specialties.</w:t>
            </w:r>
          </w:p>
          <w:p w14:paraId="44574FE3" w14:textId="77777777" w:rsidR="00111F71" w:rsidRDefault="00111F71" w:rsidP="00111F71"/>
          <w:p w14:paraId="61AAE5DB" w14:textId="77777777" w:rsidR="00111F71" w:rsidRDefault="00111F71" w:rsidP="00111F71">
            <w:r>
              <w:t>PJ has highlighted in the NES Annual Report the ongoing concerns about Chemical Pathology.</w:t>
            </w:r>
          </w:p>
          <w:p w14:paraId="23D3444C" w14:textId="41DD4B9F" w:rsidR="0038651A" w:rsidRPr="0038651A" w:rsidRDefault="0038651A" w:rsidP="00111F71"/>
        </w:tc>
        <w:tc>
          <w:tcPr>
            <w:tcW w:w="1134" w:type="dxa"/>
            <w:tcBorders>
              <w:top w:val="nil"/>
              <w:left w:val="nil"/>
              <w:bottom w:val="nil"/>
              <w:right w:val="nil"/>
            </w:tcBorders>
          </w:tcPr>
          <w:p w14:paraId="7AEFCA8F" w14:textId="77777777" w:rsidR="0038651A" w:rsidRPr="00A4645B" w:rsidRDefault="0038651A" w:rsidP="00A4645B">
            <w:pPr>
              <w:jc w:val="center"/>
              <w:rPr>
                <w:b/>
              </w:rPr>
            </w:pPr>
          </w:p>
        </w:tc>
      </w:tr>
      <w:tr w:rsidR="0038651A" w14:paraId="5A875CB7" w14:textId="77777777" w:rsidTr="007D2AEB">
        <w:tc>
          <w:tcPr>
            <w:tcW w:w="1129" w:type="dxa"/>
            <w:tcBorders>
              <w:top w:val="nil"/>
              <w:left w:val="nil"/>
              <w:bottom w:val="nil"/>
              <w:right w:val="nil"/>
            </w:tcBorders>
          </w:tcPr>
          <w:p w14:paraId="0F38490C" w14:textId="77777777" w:rsidR="0038651A" w:rsidRDefault="0038651A" w:rsidP="0038651A">
            <w:pPr>
              <w:pStyle w:val="ListParagraph"/>
              <w:numPr>
                <w:ilvl w:val="1"/>
                <w:numId w:val="1"/>
              </w:numPr>
            </w:pPr>
          </w:p>
        </w:tc>
        <w:tc>
          <w:tcPr>
            <w:tcW w:w="7655" w:type="dxa"/>
            <w:tcBorders>
              <w:top w:val="nil"/>
              <w:left w:val="nil"/>
              <w:bottom w:val="nil"/>
              <w:right w:val="nil"/>
            </w:tcBorders>
          </w:tcPr>
          <w:p w14:paraId="308478BF" w14:textId="77777777" w:rsidR="00111F71" w:rsidRDefault="00111F71" w:rsidP="270F4B04">
            <w:r>
              <w:t>Nuclear Medicine</w:t>
            </w:r>
          </w:p>
          <w:p w14:paraId="13B941C3" w14:textId="3F514B65" w:rsidR="0038651A" w:rsidRPr="008769A5" w:rsidRDefault="00A14B31" w:rsidP="270F4B04">
            <w:r>
              <w:t xml:space="preserve">The GMC had confirmed that trainees </w:t>
            </w:r>
            <w:r w:rsidR="00A95D54">
              <w:t>coming into Nuclear Medicine from Radiology c</w:t>
            </w:r>
            <w:r>
              <w:t xml:space="preserve">ould get a </w:t>
            </w:r>
            <w:r w:rsidR="008769A5">
              <w:t>Nuclear Medicine CCT and a Radiology CESR</w:t>
            </w:r>
            <w:r>
              <w:t>. The</w:t>
            </w:r>
            <w:r w:rsidR="00A95D54">
              <w:t xml:space="preserve"> trainees were happy with this.</w:t>
            </w:r>
            <w:bookmarkStart w:id="0" w:name="_GoBack"/>
            <w:bookmarkEnd w:id="0"/>
          </w:p>
          <w:p w14:paraId="7D571AEF" w14:textId="01BEE73A" w:rsidR="00A14B31" w:rsidRPr="0038651A" w:rsidRDefault="00A14B31" w:rsidP="270F4B04"/>
        </w:tc>
        <w:tc>
          <w:tcPr>
            <w:tcW w:w="1134" w:type="dxa"/>
            <w:tcBorders>
              <w:top w:val="nil"/>
              <w:left w:val="nil"/>
              <w:bottom w:val="nil"/>
              <w:right w:val="nil"/>
            </w:tcBorders>
          </w:tcPr>
          <w:p w14:paraId="11B15144" w14:textId="77777777" w:rsidR="0038651A" w:rsidRPr="00A4645B" w:rsidRDefault="0038651A" w:rsidP="00A4645B">
            <w:pPr>
              <w:jc w:val="center"/>
              <w:rPr>
                <w:b/>
              </w:rPr>
            </w:pPr>
          </w:p>
        </w:tc>
      </w:tr>
      <w:tr w:rsidR="0038651A" w14:paraId="03F8A615" w14:textId="77777777" w:rsidTr="007D2AEB">
        <w:tc>
          <w:tcPr>
            <w:tcW w:w="1129" w:type="dxa"/>
            <w:tcBorders>
              <w:top w:val="nil"/>
              <w:left w:val="nil"/>
              <w:bottom w:val="nil"/>
              <w:right w:val="nil"/>
            </w:tcBorders>
          </w:tcPr>
          <w:p w14:paraId="15FCCF78" w14:textId="77777777" w:rsidR="0038651A" w:rsidRDefault="0038651A" w:rsidP="0038651A">
            <w:pPr>
              <w:pStyle w:val="ListParagraph"/>
              <w:numPr>
                <w:ilvl w:val="1"/>
                <w:numId w:val="1"/>
              </w:numPr>
            </w:pPr>
          </w:p>
        </w:tc>
        <w:tc>
          <w:tcPr>
            <w:tcW w:w="7655" w:type="dxa"/>
            <w:tcBorders>
              <w:top w:val="nil"/>
              <w:left w:val="nil"/>
              <w:bottom w:val="nil"/>
              <w:right w:val="nil"/>
            </w:tcBorders>
          </w:tcPr>
          <w:p w14:paraId="78274122" w14:textId="77777777" w:rsidR="00A14B31" w:rsidRDefault="00A14B31" w:rsidP="270F4B04">
            <w:r>
              <w:t>Trainee issues</w:t>
            </w:r>
          </w:p>
          <w:p w14:paraId="380FEC3C" w14:textId="5A5BB3DE" w:rsidR="00A14B31" w:rsidRDefault="00A14B31" w:rsidP="270F4B04">
            <w:r>
              <w:t>No representative.</w:t>
            </w:r>
          </w:p>
          <w:p w14:paraId="1EAFF328" w14:textId="73AFBDC4" w:rsidR="0038651A" w:rsidRPr="0038651A" w:rsidRDefault="0038651A" w:rsidP="270F4B04"/>
        </w:tc>
        <w:tc>
          <w:tcPr>
            <w:tcW w:w="1134" w:type="dxa"/>
            <w:tcBorders>
              <w:top w:val="nil"/>
              <w:left w:val="nil"/>
              <w:bottom w:val="nil"/>
              <w:right w:val="nil"/>
            </w:tcBorders>
          </w:tcPr>
          <w:p w14:paraId="5F1000B9" w14:textId="77777777" w:rsidR="0038651A" w:rsidRPr="00A4645B" w:rsidRDefault="0038651A" w:rsidP="00A4645B">
            <w:pPr>
              <w:jc w:val="center"/>
              <w:rPr>
                <w:b/>
              </w:rPr>
            </w:pPr>
          </w:p>
        </w:tc>
      </w:tr>
      <w:tr w:rsidR="0038651A" w14:paraId="7C86BF16" w14:textId="77777777" w:rsidTr="007D2AEB">
        <w:tc>
          <w:tcPr>
            <w:tcW w:w="1129" w:type="dxa"/>
            <w:tcBorders>
              <w:top w:val="nil"/>
              <w:left w:val="nil"/>
              <w:bottom w:val="nil"/>
              <w:right w:val="nil"/>
            </w:tcBorders>
          </w:tcPr>
          <w:p w14:paraId="7508242E" w14:textId="77777777" w:rsidR="0038651A" w:rsidRDefault="0038651A" w:rsidP="0038651A">
            <w:pPr>
              <w:pStyle w:val="ListParagraph"/>
              <w:numPr>
                <w:ilvl w:val="1"/>
                <w:numId w:val="1"/>
              </w:numPr>
            </w:pPr>
          </w:p>
        </w:tc>
        <w:tc>
          <w:tcPr>
            <w:tcW w:w="7655" w:type="dxa"/>
            <w:tcBorders>
              <w:top w:val="nil"/>
              <w:left w:val="nil"/>
              <w:bottom w:val="nil"/>
              <w:right w:val="nil"/>
            </w:tcBorders>
          </w:tcPr>
          <w:p w14:paraId="6C72638B" w14:textId="77777777" w:rsidR="00A14B31" w:rsidRDefault="00A14B31" w:rsidP="270F4B04">
            <w:r>
              <w:t>Academic issues</w:t>
            </w:r>
          </w:p>
          <w:p w14:paraId="04D6F9FE" w14:textId="6543B055" w:rsidR="00A14B31" w:rsidRDefault="00A14B31" w:rsidP="270F4B04">
            <w:r>
              <w:lastRenderedPageBreak/>
              <w:t>No representative.</w:t>
            </w:r>
          </w:p>
          <w:p w14:paraId="5460ED86" w14:textId="226481DF" w:rsidR="0038651A" w:rsidRPr="0038651A" w:rsidRDefault="0038651A" w:rsidP="270F4B04"/>
        </w:tc>
        <w:tc>
          <w:tcPr>
            <w:tcW w:w="1134" w:type="dxa"/>
            <w:tcBorders>
              <w:top w:val="nil"/>
              <w:left w:val="nil"/>
              <w:bottom w:val="nil"/>
              <w:right w:val="nil"/>
            </w:tcBorders>
          </w:tcPr>
          <w:p w14:paraId="25850E6A" w14:textId="77777777" w:rsidR="0038651A" w:rsidRPr="00A4645B" w:rsidRDefault="0038651A" w:rsidP="00A4645B">
            <w:pPr>
              <w:jc w:val="center"/>
              <w:rPr>
                <w:b/>
              </w:rPr>
            </w:pPr>
          </w:p>
        </w:tc>
      </w:tr>
      <w:tr w:rsidR="0038651A" w14:paraId="1F760C6B" w14:textId="77777777" w:rsidTr="007D2AEB">
        <w:tc>
          <w:tcPr>
            <w:tcW w:w="1129" w:type="dxa"/>
            <w:tcBorders>
              <w:top w:val="nil"/>
              <w:left w:val="nil"/>
              <w:bottom w:val="nil"/>
              <w:right w:val="nil"/>
            </w:tcBorders>
          </w:tcPr>
          <w:p w14:paraId="585DB33D" w14:textId="77777777" w:rsidR="0038651A" w:rsidRDefault="0038651A" w:rsidP="0038651A">
            <w:pPr>
              <w:pStyle w:val="ListParagraph"/>
              <w:numPr>
                <w:ilvl w:val="1"/>
                <w:numId w:val="1"/>
              </w:numPr>
            </w:pPr>
          </w:p>
        </w:tc>
        <w:tc>
          <w:tcPr>
            <w:tcW w:w="7655" w:type="dxa"/>
            <w:tcBorders>
              <w:top w:val="nil"/>
              <w:left w:val="nil"/>
              <w:bottom w:val="nil"/>
              <w:right w:val="nil"/>
            </w:tcBorders>
          </w:tcPr>
          <w:p w14:paraId="4672101C" w14:textId="77777777" w:rsidR="00A14B31" w:rsidRDefault="00A14B31" w:rsidP="270F4B04">
            <w:r>
              <w:t>Service issues</w:t>
            </w:r>
          </w:p>
          <w:p w14:paraId="201AAD04" w14:textId="77777777" w:rsidR="00A14B31" w:rsidRDefault="00A14B31" w:rsidP="270F4B04">
            <w:r>
              <w:t>No representative.</w:t>
            </w:r>
          </w:p>
          <w:p w14:paraId="1DB21BEE" w14:textId="7E230243" w:rsidR="0038651A" w:rsidRPr="0038651A" w:rsidRDefault="0038651A" w:rsidP="270F4B04"/>
        </w:tc>
        <w:tc>
          <w:tcPr>
            <w:tcW w:w="1134" w:type="dxa"/>
            <w:tcBorders>
              <w:top w:val="nil"/>
              <w:left w:val="nil"/>
              <w:bottom w:val="nil"/>
              <w:right w:val="nil"/>
            </w:tcBorders>
          </w:tcPr>
          <w:p w14:paraId="54E63B19" w14:textId="77777777" w:rsidR="0038651A" w:rsidRPr="00A4645B" w:rsidRDefault="0038651A" w:rsidP="00A4645B">
            <w:pPr>
              <w:jc w:val="center"/>
              <w:rPr>
                <w:b/>
              </w:rPr>
            </w:pPr>
          </w:p>
        </w:tc>
      </w:tr>
      <w:tr w:rsidR="0038651A" w14:paraId="6E133482" w14:textId="77777777" w:rsidTr="007D2AEB">
        <w:tc>
          <w:tcPr>
            <w:tcW w:w="1129" w:type="dxa"/>
            <w:tcBorders>
              <w:top w:val="nil"/>
              <w:left w:val="nil"/>
              <w:bottom w:val="nil"/>
              <w:right w:val="nil"/>
            </w:tcBorders>
          </w:tcPr>
          <w:p w14:paraId="0EC732A6" w14:textId="77777777" w:rsidR="0038651A" w:rsidRDefault="0038651A" w:rsidP="0038651A">
            <w:pPr>
              <w:pStyle w:val="ListParagraph"/>
              <w:numPr>
                <w:ilvl w:val="1"/>
                <w:numId w:val="1"/>
              </w:numPr>
            </w:pPr>
          </w:p>
        </w:tc>
        <w:tc>
          <w:tcPr>
            <w:tcW w:w="7655" w:type="dxa"/>
            <w:tcBorders>
              <w:top w:val="nil"/>
              <w:left w:val="nil"/>
              <w:bottom w:val="nil"/>
              <w:right w:val="nil"/>
            </w:tcBorders>
          </w:tcPr>
          <w:p w14:paraId="171FFDAC" w14:textId="77777777" w:rsidR="00A14B31" w:rsidRDefault="00A14B31" w:rsidP="270F4B04">
            <w:r>
              <w:t>DME</w:t>
            </w:r>
          </w:p>
          <w:p w14:paraId="1E5F6050" w14:textId="77777777" w:rsidR="00A14B31" w:rsidRDefault="00A14B31" w:rsidP="270F4B04">
            <w:r>
              <w:t>No representative.</w:t>
            </w:r>
          </w:p>
          <w:p w14:paraId="0AEED29D" w14:textId="31B8ECC0" w:rsidR="0038651A" w:rsidRPr="0038651A" w:rsidRDefault="0038651A" w:rsidP="270F4B04"/>
        </w:tc>
        <w:tc>
          <w:tcPr>
            <w:tcW w:w="1134" w:type="dxa"/>
            <w:tcBorders>
              <w:top w:val="nil"/>
              <w:left w:val="nil"/>
              <w:bottom w:val="nil"/>
              <w:right w:val="nil"/>
            </w:tcBorders>
          </w:tcPr>
          <w:p w14:paraId="07128F61" w14:textId="77777777" w:rsidR="0038651A" w:rsidRPr="00A4645B" w:rsidRDefault="0038651A" w:rsidP="00A4645B">
            <w:pPr>
              <w:jc w:val="center"/>
              <w:rPr>
                <w:b/>
              </w:rPr>
            </w:pPr>
          </w:p>
        </w:tc>
      </w:tr>
      <w:tr w:rsidR="00A14B31" w14:paraId="3C54B3AE" w14:textId="77777777" w:rsidTr="007D2AEB">
        <w:tc>
          <w:tcPr>
            <w:tcW w:w="1129" w:type="dxa"/>
            <w:tcBorders>
              <w:top w:val="nil"/>
              <w:left w:val="nil"/>
              <w:bottom w:val="nil"/>
              <w:right w:val="nil"/>
            </w:tcBorders>
          </w:tcPr>
          <w:p w14:paraId="2B6CBF2A" w14:textId="77777777" w:rsidR="00A14B31" w:rsidRDefault="00A14B31" w:rsidP="0038651A">
            <w:pPr>
              <w:pStyle w:val="ListParagraph"/>
              <w:numPr>
                <w:ilvl w:val="1"/>
                <w:numId w:val="1"/>
              </w:numPr>
            </w:pPr>
          </w:p>
        </w:tc>
        <w:tc>
          <w:tcPr>
            <w:tcW w:w="7655" w:type="dxa"/>
            <w:tcBorders>
              <w:top w:val="nil"/>
              <w:left w:val="nil"/>
              <w:bottom w:val="nil"/>
              <w:right w:val="nil"/>
            </w:tcBorders>
          </w:tcPr>
          <w:p w14:paraId="30CCD13F" w14:textId="77777777" w:rsidR="00A14B31" w:rsidRDefault="00A14B31" w:rsidP="270F4B04">
            <w:r>
              <w:t>Lay rep</w:t>
            </w:r>
          </w:p>
          <w:p w14:paraId="1054D014" w14:textId="77777777" w:rsidR="00A14B31" w:rsidRDefault="00A14B31" w:rsidP="270F4B04">
            <w:r>
              <w:t>No representative.</w:t>
            </w:r>
          </w:p>
          <w:p w14:paraId="05EE736C" w14:textId="09189D3D" w:rsidR="00A14B31" w:rsidRPr="0038651A" w:rsidRDefault="00A14B31" w:rsidP="270F4B04"/>
        </w:tc>
        <w:tc>
          <w:tcPr>
            <w:tcW w:w="1134" w:type="dxa"/>
            <w:tcBorders>
              <w:top w:val="nil"/>
              <w:left w:val="nil"/>
              <w:bottom w:val="nil"/>
              <w:right w:val="nil"/>
            </w:tcBorders>
          </w:tcPr>
          <w:p w14:paraId="27CE9C73" w14:textId="77777777" w:rsidR="00A14B31" w:rsidRPr="00A4645B" w:rsidRDefault="00A14B31" w:rsidP="00A4645B">
            <w:pPr>
              <w:jc w:val="center"/>
              <w:rPr>
                <w:b/>
              </w:rPr>
            </w:pPr>
          </w:p>
        </w:tc>
      </w:tr>
      <w:tr w:rsidR="00A14B31" w14:paraId="7D50780E" w14:textId="77777777" w:rsidTr="007D2AEB">
        <w:tc>
          <w:tcPr>
            <w:tcW w:w="1129" w:type="dxa"/>
            <w:tcBorders>
              <w:top w:val="nil"/>
              <w:left w:val="nil"/>
              <w:bottom w:val="nil"/>
              <w:right w:val="nil"/>
            </w:tcBorders>
          </w:tcPr>
          <w:p w14:paraId="187DF421" w14:textId="77777777" w:rsidR="00A14B31" w:rsidRDefault="00A14B31" w:rsidP="00A14B31">
            <w:pPr>
              <w:pStyle w:val="ListParagraph"/>
              <w:numPr>
                <w:ilvl w:val="0"/>
                <w:numId w:val="1"/>
              </w:numPr>
            </w:pPr>
          </w:p>
        </w:tc>
        <w:tc>
          <w:tcPr>
            <w:tcW w:w="7655" w:type="dxa"/>
            <w:tcBorders>
              <w:top w:val="nil"/>
              <w:left w:val="nil"/>
              <w:bottom w:val="nil"/>
              <w:right w:val="nil"/>
            </w:tcBorders>
          </w:tcPr>
          <w:p w14:paraId="0BFF51C1" w14:textId="77777777" w:rsidR="00A14B31" w:rsidRDefault="00A14B31" w:rsidP="270F4B04">
            <w:pPr>
              <w:rPr>
                <w:b/>
              </w:rPr>
            </w:pPr>
            <w:r>
              <w:rPr>
                <w:b/>
              </w:rPr>
              <w:t>Received for Information</w:t>
            </w:r>
          </w:p>
          <w:p w14:paraId="6C52B4EC" w14:textId="77777777" w:rsidR="00A14B31" w:rsidRDefault="00A14B31" w:rsidP="00A14B31">
            <w:pPr>
              <w:pStyle w:val="ListParagraph"/>
              <w:numPr>
                <w:ilvl w:val="0"/>
                <w:numId w:val="4"/>
              </w:numPr>
            </w:pPr>
            <w:r>
              <w:t>Notes of the IR meeting</w:t>
            </w:r>
          </w:p>
          <w:p w14:paraId="330B4844" w14:textId="656B9C29" w:rsidR="00A14B31" w:rsidRPr="00A14B31" w:rsidRDefault="00A14B31" w:rsidP="00A14B31">
            <w:pPr>
              <w:pStyle w:val="ListParagraph"/>
              <w:ind w:left="360"/>
            </w:pPr>
          </w:p>
        </w:tc>
        <w:tc>
          <w:tcPr>
            <w:tcW w:w="1134" w:type="dxa"/>
            <w:tcBorders>
              <w:top w:val="nil"/>
              <w:left w:val="nil"/>
              <w:bottom w:val="nil"/>
              <w:right w:val="nil"/>
            </w:tcBorders>
          </w:tcPr>
          <w:p w14:paraId="52E02DF8" w14:textId="77777777" w:rsidR="00A14B31" w:rsidRPr="00A4645B" w:rsidRDefault="00A14B31" w:rsidP="00A4645B">
            <w:pPr>
              <w:jc w:val="center"/>
              <w:rPr>
                <w:b/>
              </w:rPr>
            </w:pPr>
          </w:p>
        </w:tc>
      </w:tr>
      <w:tr w:rsidR="00A14B31" w14:paraId="3BFBADEA" w14:textId="77777777" w:rsidTr="007D2AEB">
        <w:tc>
          <w:tcPr>
            <w:tcW w:w="1129" w:type="dxa"/>
            <w:tcBorders>
              <w:top w:val="nil"/>
              <w:left w:val="nil"/>
              <w:bottom w:val="nil"/>
              <w:right w:val="nil"/>
            </w:tcBorders>
          </w:tcPr>
          <w:p w14:paraId="522177A7" w14:textId="77777777" w:rsidR="00A14B31" w:rsidRDefault="00A14B31" w:rsidP="00A14B31">
            <w:pPr>
              <w:pStyle w:val="ListParagraph"/>
              <w:numPr>
                <w:ilvl w:val="0"/>
                <w:numId w:val="1"/>
              </w:numPr>
            </w:pPr>
          </w:p>
        </w:tc>
        <w:tc>
          <w:tcPr>
            <w:tcW w:w="7655" w:type="dxa"/>
            <w:tcBorders>
              <w:top w:val="nil"/>
              <w:left w:val="nil"/>
              <w:bottom w:val="nil"/>
              <w:right w:val="nil"/>
            </w:tcBorders>
          </w:tcPr>
          <w:p w14:paraId="1D0833AC" w14:textId="77777777" w:rsidR="00A14B31" w:rsidRDefault="00A14B31" w:rsidP="270F4B04">
            <w:pPr>
              <w:rPr>
                <w:b/>
              </w:rPr>
            </w:pPr>
            <w:r>
              <w:rPr>
                <w:b/>
              </w:rPr>
              <w:t>AOCB</w:t>
            </w:r>
          </w:p>
          <w:p w14:paraId="57BBA2F9" w14:textId="55612CB6" w:rsidR="00A14B31" w:rsidRDefault="00A14B31" w:rsidP="0081524B">
            <w:pPr>
              <w:pStyle w:val="ListParagraph"/>
              <w:numPr>
                <w:ilvl w:val="0"/>
                <w:numId w:val="4"/>
              </w:numPr>
            </w:pPr>
            <w:r>
              <w:t xml:space="preserve">FD informed the Board that an agreement had been reached regarding </w:t>
            </w:r>
            <w:r w:rsidR="00A95D54">
              <w:t>HR</w:t>
            </w:r>
            <w:r>
              <w:t xml:space="preserve"> Shared Services discussions. The employment of trainees will be centralised in the Health Boards, and the programmes divided into 3 regions (North and East regions together). Each Health Board will be the employer of a specialty, independently of the trainees’ location. From the point of view of trainees, this means that they will have the same employer throughout their training. </w:t>
            </w:r>
          </w:p>
          <w:p w14:paraId="3E5C768A" w14:textId="77777777" w:rsidR="00A14B31" w:rsidRDefault="00A14B31" w:rsidP="0081524B">
            <w:pPr>
              <w:ind w:left="360"/>
            </w:pPr>
            <w:r>
              <w:t xml:space="preserve">Operational details such as expenses or study leave still need to be ironed out. It is hoped that this will be implemented for August 2018 intake. </w:t>
            </w:r>
          </w:p>
          <w:p w14:paraId="03EA0672" w14:textId="1AF37ACB" w:rsidR="00A14B31" w:rsidRDefault="00A14B31" w:rsidP="0081524B">
            <w:pPr>
              <w:ind w:left="360"/>
            </w:pPr>
            <w:r>
              <w:t xml:space="preserve">NES will be the employer of GPST. </w:t>
            </w:r>
          </w:p>
          <w:p w14:paraId="09BA7D34" w14:textId="77777777" w:rsidR="009A354C" w:rsidRDefault="009A354C" w:rsidP="0081524B">
            <w:pPr>
              <w:ind w:left="360"/>
            </w:pPr>
          </w:p>
          <w:p w14:paraId="390F813A" w14:textId="0523D7CA" w:rsidR="009A354C" w:rsidRDefault="009A354C" w:rsidP="009A354C">
            <w:pPr>
              <w:pStyle w:val="ListParagraph"/>
              <w:numPr>
                <w:ilvl w:val="0"/>
                <w:numId w:val="4"/>
              </w:numPr>
            </w:pPr>
            <w:r>
              <w:t xml:space="preserve">If anyone is able to deputise for PJ at the </w:t>
            </w:r>
            <w:r w:rsidR="007D2AEB">
              <w:t xml:space="preserve">Diagnostics </w:t>
            </w:r>
            <w:r>
              <w:t>Shared Services on 14 March please let him know and copy Helen McIntosh.</w:t>
            </w:r>
          </w:p>
          <w:p w14:paraId="68F81A28" w14:textId="533719EA" w:rsidR="0081524B" w:rsidRPr="00A14B31" w:rsidRDefault="0081524B" w:rsidP="0081524B">
            <w:pPr>
              <w:ind w:left="360"/>
            </w:pPr>
          </w:p>
        </w:tc>
        <w:tc>
          <w:tcPr>
            <w:tcW w:w="1134" w:type="dxa"/>
            <w:tcBorders>
              <w:top w:val="nil"/>
              <w:left w:val="nil"/>
              <w:bottom w:val="nil"/>
              <w:right w:val="nil"/>
            </w:tcBorders>
          </w:tcPr>
          <w:p w14:paraId="11105E3B" w14:textId="77777777" w:rsidR="00A14B31" w:rsidRDefault="00A14B31" w:rsidP="00A4645B">
            <w:pPr>
              <w:jc w:val="center"/>
              <w:rPr>
                <w:b/>
              </w:rPr>
            </w:pPr>
          </w:p>
        </w:tc>
      </w:tr>
      <w:tr w:rsidR="0081524B" w14:paraId="0628DED8" w14:textId="77777777" w:rsidTr="007D2AEB">
        <w:tc>
          <w:tcPr>
            <w:tcW w:w="1129" w:type="dxa"/>
            <w:tcBorders>
              <w:top w:val="nil"/>
              <w:left w:val="nil"/>
              <w:bottom w:val="nil"/>
              <w:right w:val="nil"/>
            </w:tcBorders>
          </w:tcPr>
          <w:p w14:paraId="36354F8C" w14:textId="77777777" w:rsidR="0081524B" w:rsidRDefault="0081524B" w:rsidP="00A14B31">
            <w:pPr>
              <w:pStyle w:val="ListParagraph"/>
              <w:numPr>
                <w:ilvl w:val="0"/>
                <w:numId w:val="1"/>
              </w:numPr>
            </w:pPr>
          </w:p>
        </w:tc>
        <w:tc>
          <w:tcPr>
            <w:tcW w:w="7655" w:type="dxa"/>
            <w:tcBorders>
              <w:top w:val="nil"/>
              <w:left w:val="nil"/>
              <w:bottom w:val="nil"/>
              <w:right w:val="nil"/>
            </w:tcBorders>
          </w:tcPr>
          <w:p w14:paraId="243ADE66" w14:textId="77777777" w:rsidR="0081524B" w:rsidRDefault="0081524B" w:rsidP="270F4B04">
            <w:pPr>
              <w:rPr>
                <w:b/>
              </w:rPr>
            </w:pPr>
            <w:r>
              <w:rPr>
                <w:b/>
              </w:rPr>
              <w:t>Date of next meeting</w:t>
            </w:r>
          </w:p>
          <w:p w14:paraId="363986BA" w14:textId="15F7F1D0" w:rsidR="0081524B" w:rsidRPr="009A354C" w:rsidRDefault="009A354C" w:rsidP="270F4B04">
            <w:r w:rsidRPr="009A354C">
              <w:t>Wednesday 22 March 2017, 10.30am, ADEC</w:t>
            </w:r>
          </w:p>
        </w:tc>
        <w:tc>
          <w:tcPr>
            <w:tcW w:w="1134" w:type="dxa"/>
            <w:tcBorders>
              <w:top w:val="nil"/>
              <w:left w:val="nil"/>
              <w:bottom w:val="nil"/>
              <w:right w:val="nil"/>
            </w:tcBorders>
          </w:tcPr>
          <w:p w14:paraId="57F25161" w14:textId="77777777" w:rsidR="0081524B" w:rsidRDefault="0081524B" w:rsidP="00A4645B">
            <w:pPr>
              <w:jc w:val="center"/>
              <w:rPr>
                <w:b/>
              </w:rPr>
            </w:pPr>
          </w:p>
        </w:tc>
      </w:tr>
    </w:tbl>
    <w:p w14:paraId="4F4877B5" w14:textId="3912A3DB" w:rsidR="00781C68" w:rsidRDefault="00781C68" w:rsidP="270F4B04"/>
    <w:p w14:paraId="1B24E2C6" w14:textId="77777777" w:rsidR="00837994" w:rsidRDefault="00837994" w:rsidP="270F4B04"/>
    <w:p w14:paraId="207D272A" w14:textId="77777777" w:rsidR="00837994" w:rsidRPr="007D1BFD" w:rsidRDefault="00837994" w:rsidP="00837994">
      <w:pPr>
        <w:tabs>
          <w:tab w:val="left" w:pos="567"/>
          <w:tab w:val="left" w:pos="1134"/>
          <w:tab w:val="left" w:pos="1701"/>
          <w:tab w:val="left" w:pos="2268"/>
          <w:tab w:val="right" w:pos="9072"/>
        </w:tabs>
        <w:ind w:firstLine="567"/>
        <w:rPr>
          <w:rFonts w:eastAsia="Calibri" w:cstheme="minorHAnsi"/>
          <w:b/>
          <w:bCs/>
        </w:rPr>
      </w:pPr>
      <w:r w:rsidRPr="007D1BFD">
        <w:rPr>
          <w:rFonts w:eastAsia="Calibri" w:cstheme="minorHAnsi"/>
          <w:b/>
          <w:bCs/>
        </w:rPr>
        <w:t>Action points</w:t>
      </w:r>
    </w:p>
    <w:p w14:paraId="7C542C6D" w14:textId="77777777" w:rsidR="00837994" w:rsidRPr="007D1BFD" w:rsidRDefault="00837994" w:rsidP="00376600">
      <w:pPr>
        <w:tabs>
          <w:tab w:val="left" w:pos="567"/>
          <w:tab w:val="left" w:pos="1134"/>
          <w:tab w:val="left" w:pos="1701"/>
          <w:tab w:val="left" w:pos="2268"/>
          <w:tab w:val="right" w:pos="9072"/>
        </w:tabs>
        <w:rPr>
          <w:rFonts w:eastAsia="Calibri" w:cstheme="minorHAnsi"/>
          <w:b/>
          <w:bCs/>
        </w:rPr>
      </w:pPr>
    </w:p>
    <w:tbl>
      <w:tblPr>
        <w:tblStyle w:val="TableGrid"/>
        <w:tblW w:w="8844" w:type="dxa"/>
        <w:tblInd w:w="253" w:type="dxa"/>
        <w:tblLook w:val="04A0" w:firstRow="1" w:lastRow="0" w:firstColumn="1" w:lastColumn="0" w:noHBand="0" w:noVBand="1"/>
      </w:tblPr>
      <w:tblGrid>
        <w:gridCol w:w="1222"/>
        <w:gridCol w:w="2839"/>
        <w:gridCol w:w="3626"/>
        <w:gridCol w:w="1157"/>
      </w:tblGrid>
      <w:tr w:rsidR="00837994" w:rsidRPr="007D1BFD" w14:paraId="14AEB118" w14:textId="77777777" w:rsidTr="00837994">
        <w:tc>
          <w:tcPr>
            <w:tcW w:w="1222" w:type="dxa"/>
          </w:tcPr>
          <w:p w14:paraId="44395E50" w14:textId="77777777" w:rsidR="00837994" w:rsidRPr="007D1BFD" w:rsidRDefault="00837994" w:rsidP="00376600">
            <w:pPr>
              <w:tabs>
                <w:tab w:val="left" w:pos="567"/>
                <w:tab w:val="left" w:pos="1134"/>
                <w:tab w:val="left" w:pos="1701"/>
                <w:tab w:val="left" w:pos="2268"/>
                <w:tab w:val="right" w:pos="9072"/>
              </w:tabs>
              <w:rPr>
                <w:rFonts w:eastAsia="Calibri" w:cstheme="minorHAnsi"/>
                <w:b/>
                <w:bCs/>
              </w:rPr>
            </w:pPr>
            <w:r w:rsidRPr="007D1BFD">
              <w:rPr>
                <w:rFonts w:eastAsia="Calibri" w:cstheme="minorHAnsi"/>
                <w:b/>
                <w:bCs/>
              </w:rPr>
              <w:t>Item No.</w:t>
            </w:r>
          </w:p>
        </w:tc>
        <w:tc>
          <w:tcPr>
            <w:tcW w:w="2839" w:type="dxa"/>
          </w:tcPr>
          <w:p w14:paraId="67E401B2" w14:textId="77777777" w:rsidR="00837994" w:rsidRPr="007D1BFD" w:rsidRDefault="00837994" w:rsidP="00376600">
            <w:pPr>
              <w:tabs>
                <w:tab w:val="left" w:pos="567"/>
                <w:tab w:val="left" w:pos="1134"/>
                <w:tab w:val="left" w:pos="1701"/>
                <w:tab w:val="left" w:pos="2268"/>
                <w:tab w:val="right" w:pos="9072"/>
              </w:tabs>
              <w:rPr>
                <w:rFonts w:eastAsia="Calibri" w:cstheme="minorHAnsi"/>
                <w:b/>
                <w:bCs/>
              </w:rPr>
            </w:pPr>
            <w:r w:rsidRPr="007D1BFD">
              <w:rPr>
                <w:rFonts w:eastAsia="Calibri" w:cstheme="minorHAnsi"/>
                <w:b/>
                <w:bCs/>
              </w:rPr>
              <w:t>Item Name</w:t>
            </w:r>
          </w:p>
        </w:tc>
        <w:tc>
          <w:tcPr>
            <w:tcW w:w="3626" w:type="dxa"/>
          </w:tcPr>
          <w:p w14:paraId="3121F350" w14:textId="77777777" w:rsidR="00837994" w:rsidRPr="007D1BFD" w:rsidRDefault="00837994" w:rsidP="00376600">
            <w:pPr>
              <w:tabs>
                <w:tab w:val="left" w:pos="567"/>
                <w:tab w:val="left" w:pos="1134"/>
                <w:tab w:val="left" w:pos="1701"/>
                <w:tab w:val="left" w:pos="2268"/>
                <w:tab w:val="right" w:pos="9072"/>
              </w:tabs>
              <w:rPr>
                <w:rFonts w:eastAsia="Calibri" w:cstheme="minorHAnsi"/>
                <w:b/>
                <w:bCs/>
              </w:rPr>
            </w:pPr>
            <w:r w:rsidRPr="007D1BFD">
              <w:rPr>
                <w:rFonts w:eastAsia="Calibri" w:cstheme="minorHAnsi"/>
                <w:b/>
                <w:bCs/>
              </w:rPr>
              <w:t>Action</w:t>
            </w:r>
          </w:p>
        </w:tc>
        <w:tc>
          <w:tcPr>
            <w:tcW w:w="1157" w:type="dxa"/>
          </w:tcPr>
          <w:p w14:paraId="7E80223E" w14:textId="77777777" w:rsidR="00837994" w:rsidRPr="007D1BFD" w:rsidRDefault="00837994" w:rsidP="00837994">
            <w:pPr>
              <w:tabs>
                <w:tab w:val="left" w:pos="567"/>
                <w:tab w:val="left" w:pos="1134"/>
                <w:tab w:val="left" w:pos="1701"/>
                <w:tab w:val="left" w:pos="2268"/>
                <w:tab w:val="right" w:pos="9072"/>
              </w:tabs>
              <w:jc w:val="center"/>
              <w:rPr>
                <w:rFonts w:eastAsia="Calibri" w:cstheme="minorHAnsi"/>
                <w:b/>
                <w:bCs/>
              </w:rPr>
            </w:pPr>
            <w:r w:rsidRPr="007D1BFD">
              <w:rPr>
                <w:rFonts w:eastAsia="Calibri" w:cstheme="minorHAnsi"/>
                <w:b/>
                <w:bCs/>
              </w:rPr>
              <w:t>Lead</w:t>
            </w:r>
          </w:p>
        </w:tc>
      </w:tr>
      <w:tr w:rsidR="00837994" w14:paraId="1E582CC4" w14:textId="77777777" w:rsidTr="00837994">
        <w:tc>
          <w:tcPr>
            <w:tcW w:w="1222" w:type="dxa"/>
          </w:tcPr>
          <w:p w14:paraId="0CCC8FE8" w14:textId="7F6B98A1" w:rsidR="00837994" w:rsidRDefault="00837994" w:rsidP="00376600">
            <w:pPr>
              <w:tabs>
                <w:tab w:val="left" w:pos="567"/>
                <w:tab w:val="left" w:pos="1134"/>
                <w:tab w:val="left" w:pos="1701"/>
                <w:tab w:val="left" w:pos="2268"/>
                <w:tab w:val="right" w:pos="9072"/>
              </w:tabs>
              <w:rPr>
                <w:rFonts w:eastAsia="Calibri" w:cstheme="minorHAnsi"/>
                <w:bCs/>
              </w:rPr>
            </w:pPr>
            <w:r>
              <w:rPr>
                <w:rFonts w:eastAsia="Calibri" w:cstheme="minorHAnsi"/>
                <w:bCs/>
              </w:rPr>
              <w:t>3.6</w:t>
            </w:r>
          </w:p>
        </w:tc>
        <w:tc>
          <w:tcPr>
            <w:tcW w:w="2839" w:type="dxa"/>
          </w:tcPr>
          <w:p w14:paraId="1EB974E0" w14:textId="03368CF8" w:rsidR="00837994" w:rsidRDefault="00837994" w:rsidP="00376600">
            <w:pPr>
              <w:tabs>
                <w:tab w:val="left" w:pos="567"/>
                <w:tab w:val="left" w:pos="1134"/>
                <w:tab w:val="left" w:pos="1701"/>
                <w:tab w:val="left" w:pos="2268"/>
                <w:tab w:val="right" w:pos="9072"/>
              </w:tabs>
              <w:rPr>
                <w:rFonts w:eastAsia="Calibri" w:cstheme="minorHAnsi"/>
                <w:bCs/>
              </w:rPr>
            </w:pPr>
            <w:r>
              <w:rPr>
                <w:rFonts w:eastAsia="Calibri" w:cstheme="minorHAnsi"/>
                <w:bCs/>
              </w:rPr>
              <w:t>Matters Arising: LaMP</w:t>
            </w:r>
          </w:p>
        </w:tc>
        <w:tc>
          <w:tcPr>
            <w:tcW w:w="3626" w:type="dxa"/>
          </w:tcPr>
          <w:p w14:paraId="4BC574B0" w14:textId="3A074D51" w:rsidR="00837994" w:rsidRDefault="00837994" w:rsidP="00376600">
            <w:pPr>
              <w:tabs>
                <w:tab w:val="left" w:pos="567"/>
                <w:tab w:val="left" w:pos="1134"/>
                <w:tab w:val="left" w:pos="1701"/>
                <w:tab w:val="left" w:pos="2268"/>
                <w:tab w:val="right" w:pos="9072"/>
              </w:tabs>
              <w:rPr>
                <w:rFonts w:eastAsia="Calibri" w:cstheme="minorHAnsi"/>
                <w:bCs/>
              </w:rPr>
            </w:pPr>
            <w:r>
              <w:rPr>
                <w:rFonts w:eastAsia="Calibri" w:cstheme="minorHAnsi"/>
                <w:bCs/>
              </w:rPr>
              <w:t>To speak to Ronald MacVicar about increasing capacity of the courses</w:t>
            </w:r>
          </w:p>
        </w:tc>
        <w:tc>
          <w:tcPr>
            <w:tcW w:w="1157" w:type="dxa"/>
          </w:tcPr>
          <w:p w14:paraId="711A706E" w14:textId="2AE89051" w:rsidR="00837994" w:rsidRPr="00837994" w:rsidRDefault="00837994" w:rsidP="00837994">
            <w:pPr>
              <w:tabs>
                <w:tab w:val="left" w:pos="567"/>
                <w:tab w:val="left" w:pos="1134"/>
                <w:tab w:val="left" w:pos="1701"/>
                <w:tab w:val="left" w:pos="2268"/>
                <w:tab w:val="right" w:pos="9072"/>
              </w:tabs>
              <w:jc w:val="center"/>
              <w:rPr>
                <w:rFonts w:eastAsia="Calibri" w:cstheme="minorHAnsi"/>
                <w:b/>
                <w:bCs/>
              </w:rPr>
            </w:pPr>
            <w:r w:rsidRPr="00837994">
              <w:rPr>
                <w:rFonts w:eastAsia="Calibri" w:cstheme="minorHAnsi"/>
                <w:b/>
                <w:bCs/>
              </w:rPr>
              <w:t>PJ</w:t>
            </w:r>
          </w:p>
        </w:tc>
      </w:tr>
      <w:tr w:rsidR="00837994" w14:paraId="2DCD7E61" w14:textId="77777777" w:rsidTr="00837994">
        <w:tc>
          <w:tcPr>
            <w:tcW w:w="1222" w:type="dxa"/>
          </w:tcPr>
          <w:p w14:paraId="37BA17F9" w14:textId="77777777" w:rsidR="00837994" w:rsidRDefault="00837994" w:rsidP="00376600">
            <w:pPr>
              <w:tabs>
                <w:tab w:val="left" w:pos="567"/>
                <w:tab w:val="left" w:pos="1134"/>
                <w:tab w:val="left" w:pos="1701"/>
                <w:tab w:val="left" w:pos="2268"/>
                <w:tab w:val="right" w:pos="9072"/>
              </w:tabs>
              <w:rPr>
                <w:rFonts w:eastAsia="Calibri" w:cstheme="minorHAnsi"/>
                <w:bCs/>
              </w:rPr>
            </w:pPr>
          </w:p>
        </w:tc>
        <w:tc>
          <w:tcPr>
            <w:tcW w:w="2839" w:type="dxa"/>
          </w:tcPr>
          <w:p w14:paraId="79366AD8" w14:textId="77777777" w:rsidR="00837994" w:rsidRDefault="00837994" w:rsidP="00376600">
            <w:pPr>
              <w:tabs>
                <w:tab w:val="left" w:pos="567"/>
                <w:tab w:val="left" w:pos="1134"/>
                <w:tab w:val="left" w:pos="1701"/>
                <w:tab w:val="left" w:pos="2268"/>
                <w:tab w:val="right" w:pos="9072"/>
              </w:tabs>
              <w:rPr>
                <w:rFonts w:eastAsia="Calibri" w:cstheme="minorHAnsi"/>
                <w:bCs/>
              </w:rPr>
            </w:pPr>
          </w:p>
        </w:tc>
        <w:tc>
          <w:tcPr>
            <w:tcW w:w="3626" w:type="dxa"/>
          </w:tcPr>
          <w:p w14:paraId="37ADD3EF" w14:textId="77777777" w:rsidR="00837994" w:rsidRDefault="00837994" w:rsidP="00376600">
            <w:pPr>
              <w:tabs>
                <w:tab w:val="left" w:pos="567"/>
                <w:tab w:val="left" w:pos="1134"/>
                <w:tab w:val="left" w:pos="1701"/>
                <w:tab w:val="left" w:pos="2268"/>
                <w:tab w:val="right" w:pos="9072"/>
              </w:tabs>
              <w:rPr>
                <w:rFonts w:eastAsia="Calibri" w:cstheme="minorHAnsi"/>
                <w:bCs/>
              </w:rPr>
            </w:pPr>
          </w:p>
        </w:tc>
        <w:tc>
          <w:tcPr>
            <w:tcW w:w="1157" w:type="dxa"/>
          </w:tcPr>
          <w:p w14:paraId="22A84E38" w14:textId="77777777" w:rsidR="00837994" w:rsidRPr="00837994" w:rsidRDefault="00837994" w:rsidP="00837994">
            <w:pPr>
              <w:tabs>
                <w:tab w:val="left" w:pos="567"/>
                <w:tab w:val="left" w:pos="1134"/>
                <w:tab w:val="left" w:pos="1701"/>
                <w:tab w:val="left" w:pos="2268"/>
                <w:tab w:val="right" w:pos="9072"/>
              </w:tabs>
              <w:jc w:val="center"/>
              <w:rPr>
                <w:rFonts w:eastAsia="Calibri" w:cstheme="minorHAnsi"/>
                <w:b/>
                <w:bCs/>
              </w:rPr>
            </w:pPr>
          </w:p>
        </w:tc>
      </w:tr>
      <w:tr w:rsidR="00837994" w14:paraId="18349ABF" w14:textId="77777777" w:rsidTr="00837994">
        <w:tc>
          <w:tcPr>
            <w:tcW w:w="1222" w:type="dxa"/>
          </w:tcPr>
          <w:p w14:paraId="3F762661" w14:textId="77777777" w:rsidR="00837994" w:rsidRDefault="00837994" w:rsidP="00376600">
            <w:pPr>
              <w:tabs>
                <w:tab w:val="left" w:pos="567"/>
                <w:tab w:val="left" w:pos="1134"/>
                <w:tab w:val="left" w:pos="1701"/>
                <w:tab w:val="left" w:pos="2268"/>
                <w:tab w:val="right" w:pos="9072"/>
              </w:tabs>
              <w:rPr>
                <w:rFonts w:eastAsia="Calibri" w:cstheme="minorHAnsi"/>
                <w:bCs/>
              </w:rPr>
            </w:pPr>
          </w:p>
        </w:tc>
        <w:tc>
          <w:tcPr>
            <w:tcW w:w="2839" w:type="dxa"/>
          </w:tcPr>
          <w:p w14:paraId="32AB3A98" w14:textId="77777777" w:rsidR="00837994" w:rsidRDefault="00837994" w:rsidP="00376600">
            <w:pPr>
              <w:tabs>
                <w:tab w:val="left" w:pos="567"/>
                <w:tab w:val="left" w:pos="1134"/>
                <w:tab w:val="left" w:pos="1701"/>
                <w:tab w:val="left" w:pos="2268"/>
                <w:tab w:val="right" w:pos="9072"/>
              </w:tabs>
              <w:rPr>
                <w:rFonts w:eastAsia="Calibri" w:cstheme="minorHAnsi"/>
                <w:bCs/>
              </w:rPr>
            </w:pPr>
          </w:p>
        </w:tc>
        <w:tc>
          <w:tcPr>
            <w:tcW w:w="3626" w:type="dxa"/>
          </w:tcPr>
          <w:p w14:paraId="6DF3AD83" w14:textId="77777777" w:rsidR="00837994" w:rsidRDefault="00837994" w:rsidP="00376600">
            <w:pPr>
              <w:tabs>
                <w:tab w:val="left" w:pos="567"/>
                <w:tab w:val="left" w:pos="1134"/>
                <w:tab w:val="left" w:pos="1701"/>
                <w:tab w:val="left" w:pos="2268"/>
                <w:tab w:val="right" w:pos="9072"/>
              </w:tabs>
              <w:rPr>
                <w:rFonts w:eastAsia="Calibri" w:cstheme="minorHAnsi"/>
                <w:bCs/>
              </w:rPr>
            </w:pPr>
          </w:p>
        </w:tc>
        <w:tc>
          <w:tcPr>
            <w:tcW w:w="1157" w:type="dxa"/>
          </w:tcPr>
          <w:p w14:paraId="385461B1" w14:textId="77777777" w:rsidR="00837994" w:rsidRPr="00837994" w:rsidRDefault="00837994" w:rsidP="00837994">
            <w:pPr>
              <w:tabs>
                <w:tab w:val="left" w:pos="567"/>
                <w:tab w:val="left" w:pos="1134"/>
                <w:tab w:val="left" w:pos="1701"/>
                <w:tab w:val="left" w:pos="2268"/>
                <w:tab w:val="right" w:pos="9072"/>
              </w:tabs>
              <w:jc w:val="center"/>
              <w:rPr>
                <w:rFonts w:eastAsia="Calibri" w:cstheme="minorHAnsi"/>
                <w:b/>
                <w:bCs/>
              </w:rPr>
            </w:pPr>
          </w:p>
        </w:tc>
      </w:tr>
      <w:tr w:rsidR="00837994" w14:paraId="4F278253" w14:textId="77777777" w:rsidTr="00837994">
        <w:tc>
          <w:tcPr>
            <w:tcW w:w="1222" w:type="dxa"/>
          </w:tcPr>
          <w:p w14:paraId="352143E4" w14:textId="77777777" w:rsidR="00837994" w:rsidRDefault="00837994" w:rsidP="00376600">
            <w:pPr>
              <w:tabs>
                <w:tab w:val="left" w:pos="567"/>
                <w:tab w:val="left" w:pos="1134"/>
                <w:tab w:val="left" w:pos="1701"/>
                <w:tab w:val="left" w:pos="2268"/>
                <w:tab w:val="right" w:pos="9072"/>
              </w:tabs>
              <w:rPr>
                <w:rFonts w:eastAsia="Calibri" w:cstheme="minorHAnsi"/>
                <w:bCs/>
              </w:rPr>
            </w:pPr>
          </w:p>
        </w:tc>
        <w:tc>
          <w:tcPr>
            <w:tcW w:w="2839" w:type="dxa"/>
          </w:tcPr>
          <w:p w14:paraId="583645A3" w14:textId="77777777" w:rsidR="00837994" w:rsidRDefault="00837994" w:rsidP="00376600">
            <w:pPr>
              <w:tabs>
                <w:tab w:val="left" w:pos="567"/>
                <w:tab w:val="left" w:pos="1134"/>
                <w:tab w:val="left" w:pos="1701"/>
                <w:tab w:val="left" w:pos="2268"/>
                <w:tab w:val="right" w:pos="9072"/>
              </w:tabs>
              <w:rPr>
                <w:rFonts w:eastAsia="Calibri" w:cstheme="minorHAnsi"/>
                <w:bCs/>
              </w:rPr>
            </w:pPr>
          </w:p>
        </w:tc>
        <w:tc>
          <w:tcPr>
            <w:tcW w:w="3626" w:type="dxa"/>
          </w:tcPr>
          <w:p w14:paraId="351A66D1" w14:textId="77777777" w:rsidR="00837994" w:rsidRDefault="00837994" w:rsidP="00376600">
            <w:pPr>
              <w:tabs>
                <w:tab w:val="left" w:pos="567"/>
                <w:tab w:val="left" w:pos="1134"/>
                <w:tab w:val="left" w:pos="1701"/>
                <w:tab w:val="left" w:pos="2268"/>
                <w:tab w:val="right" w:pos="9072"/>
              </w:tabs>
              <w:rPr>
                <w:rFonts w:eastAsia="Calibri" w:cstheme="minorHAnsi"/>
                <w:bCs/>
              </w:rPr>
            </w:pPr>
          </w:p>
        </w:tc>
        <w:tc>
          <w:tcPr>
            <w:tcW w:w="1157" w:type="dxa"/>
          </w:tcPr>
          <w:p w14:paraId="50E72948" w14:textId="77777777" w:rsidR="00837994" w:rsidRPr="00837994" w:rsidRDefault="00837994" w:rsidP="00837994">
            <w:pPr>
              <w:tabs>
                <w:tab w:val="left" w:pos="567"/>
                <w:tab w:val="left" w:pos="1134"/>
                <w:tab w:val="left" w:pos="1701"/>
                <w:tab w:val="left" w:pos="2268"/>
                <w:tab w:val="right" w:pos="9072"/>
              </w:tabs>
              <w:jc w:val="center"/>
              <w:rPr>
                <w:rFonts w:eastAsia="Calibri" w:cstheme="minorHAnsi"/>
                <w:b/>
                <w:bCs/>
              </w:rPr>
            </w:pPr>
          </w:p>
        </w:tc>
      </w:tr>
      <w:tr w:rsidR="00837994" w14:paraId="5E55CA8E" w14:textId="77777777" w:rsidTr="00837994">
        <w:tc>
          <w:tcPr>
            <w:tcW w:w="1222" w:type="dxa"/>
          </w:tcPr>
          <w:p w14:paraId="39BF9BD2" w14:textId="77777777" w:rsidR="00837994" w:rsidRDefault="00837994" w:rsidP="00376600">
            <w:pPr>
              <w:tabs>
                <w:tab w:val="left" w:pos="567"/>
                <w:tab w:val="left" w:pos="1134"/>
                <w:tab w:val="left" w:pos="1701"/>
                <w:tab w:val="left" w:pos="2268"/>
                <w:tab w:val="right" w:pos="9072"/>
              </w:tabs>
              <w:rPr>
                <w:rFonts w:eastAsia="Calibri" w:cstheme="minorHAnsi"/>
                <w:bCs/>
              </w:rPr>
            </w:pPr>
          </w:p>
        </w:tc>
        <w:tc>
          <w:tcPr>
            <w:tcW w:w="2839" w:type="dxa"/>
          </w:tcPr>
          <w:p w14:paraId="06C98FD3" w14:textId="77777777" w:rsidR="00837994" w:rsidRDefault="00837994" w:rsidP="00376600">
            <w:pPr>
              <w:tabs>
                <w:tab w:val="left" w:pos="567"/>
                <w:tab w:val="left" w:pos="1134"/>
                <w:tab w:val="left" w:pos="1701"/>
                <w:tab w:val="left" w:pos="2268"/>
                <w:tab w:val="right" w:pos="9072"/>
              </w:tabs>
              <w:rPr>
                <w:rFonts w:eastAsia="Calibri" w:cstheme="minorHAnsi"/>
                <w:bCs/>
              </w:rPr>
            </w:pPr>
          </w:p>
        </w:tc>
        <w:tc>
          <w:tcPr>
            <w:tcW w:w="3626" w:type="dxa"/>
          </w:tcPr>
          <w:p w14:paraId="7D9F3E88" w14:textId="77777777" w:rsidR="00837994" w:rsidRDefault="00837994" w:rsidP="00376600">
            <w:pPr>
              <w:tabs>
                <w:tab w:val="left" w:pos="567"/>
                <w:tab w:val="left" w:pos="1134"/>
                <w:tab w:val="left" w:pos="1701"/>
                <w:tab w:val="left" w:pos="2268"/>
                <w:tab w:val="right" w:pos="9072"/>
              </w:tabs>
              <w:rPr>
                <w:rFonts w:eastAsia="Calibri" w:cstheme="minorHAnsi"/>
                <w:bCs/>
              </w:rPr>
            </w:pPr>
          </w:p>
        </w:tc>
        <w:tc>
          <w:tcPr>
            <w:tcW w:w="1157" w:type="dxa"/>
          </w:tcPr>
          <w:p w14:paraId="612EE00A" w14:textId="77777777" w:rsidR="00837994" w:rsidRPr="00837994" w:rsidRDefault="00837994" w:rsidP="00837994">
            <w:pPr>
              <w:tabs>
                <w:tab w:val="left" w:pos="567"/>
                <w:tab w:val="left" w:pos="1134"/>
                <w:tab w:val="left" w:pos="1701"/>
                <w:tab w:val="left" w:pos="2268"/>
                <w:tab w:val="right" w:pos="9072"/>
              </w:tabs>
              <w:jc w:val="center"/>
              <w:rPr>
                <w:rFonts w:eastAsia="Calibri" w:cstheme="minorHAnsi"/>
                <w:b/>
                <w:bCs/>
              </w:rPr>
            </w:pPr>
          </w:p>
        </w:tc>
      </w:tr>
      <w:tr w:rsidR="00837994" w14:paraId="6B3F1CB1" w14:textId="77777777" w:rsidTr="00837994">
        <w:tc>
          <w:tcPr>
            <w:tcW w:w="1222" w:type="dxa"/>
          </w:tcPr>
          <w:p w14:paraId="1C488B25" w14:textId="77777777" w:rsidR="00837994" w:rsidRDefault="00837994" w:rsidP="00376600">
            <w:pPr>
              <w:tabs>
                <w:tab w:val="left" w:pos="567"/>
                <w:tab w:val="left" w:pos="1134"/>
                <w:tab w:val="left" w:pos="1701"/>
                <w:tab w:val="left" w:pos="2268"/>
                <w:tab w:val="right" w:pos="9072"/>
              </w:tabs>
              <w:rPr>
                <w:rFonts w:eastAsia="Calibri" w:cstheme="minorHAnsi"/>
                <w:bCs/>
              </w:rPr>
            </w:pPr>
          </w:p>
        </w:tc>
        <w:tc>
          <w:tcPr>
            <w:tcW w:w="2839" w:type="dxa"/>
          </w:tcPr>
          <w:p w14:paraId="260ED0F3" w14:textId="77777777" w:rsidR="00837994" w:rsidRDefault="00837994" w:rsidP="00376600">
            <w:pPr>
              <w:tabs>
                <w:tab w:val="left" w:pos="567"/>
                <w:tab w:val="left" w:pos="1134"/>
                <w:tab w:val="left" w:pos="1701"/>
                <w:tab w:val="left" w:pos="2268"/>
                <w:tab w:val="right" w:pos="9072"/>
              </w:tabs>
              <w:rPr>
                <w:rFonts w:eastAsia="Calibri" w:cstheme="minorHAnsi"/>
                <w:bCs/>
              </w:rPr>
            </w:pPr>
          </w:p>
        </w:tc>
        <w:tc>
          <w:tcPr>
            <w:tcW w:w="3626" w:type="dxa"/>
          </w:tcPr>
          <w:p w14:paraId="2172D132" w14:textId="77777777" w:rsidR="00837994" w:rsidRDefault="00837994" w:rsidP="00376600">
            <w:pPr>
              <w:tabs>
                <w:tab w:val="left" w:pos="567"/>
                <w:tab w:val="left" w:pos="1134"/>
                <w:tab w:val="left" w:pos="1701"/>
                <w:tab w:val="left" w:pos="2268"/>
                <w:tab w:val="right" w:pos="9072"/>
              </w:tabs>
              <w:rPr>
                <w:rFonts w:eastAsia="Calibri" w:cstheme="minorHAnsi"/>
                <w:bCs/>
              </w:rPr>
            </w:pPr>
          </w:p>
        </w:tc>
        <w:tc>
          <w:tcPr>
            <w:tcW w:w="1157" w:type="dxa"/>
          </w:tcPr>
          <w:p w14:paraId="4CD0399D" w14:textId="77777777" w:rsidR="00837994" w:rsidRPr="00837994" w:rsidRDefault="00837994" w:rsidP="00837994">
            <w:pPr>
              <w:tabs>
                <w:tab w:val="left" w:pos="567"/>
                <w:tab w:val="left" w:pos="1134"/>
                <w:tab w:val="left" w:pos="1701"/>
                <w:tab w:val="left" w:pos="2268"/>
                <w:tab w:val="right" w:pos="9072"/>
              </w:tabs>
              <w:jc w:val="center"/>
              <w:rPr>
                <w:rFonts w:eastAsia="Calibri" w:cstheme="minorHAnsi"/>
                <w:b/>
                <w:bCs/>
              </w:rPr>
            </w:pPr>
          </w:p>
        </w:tc>
      </w:tr>
    </w:tbl>
    <w:p w14:paraId="6725D49A" w14:textId="77777777" w:rsidR="00781C68" w:rsidRDefault="00781C68" w:rsidP="270F4B04"/>
    <w:sectPr w:rsidR="00781C6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D7084" w14:textId="77777777" w:rsidR="00615909" w:rsidRDefault="00615909" w:rsidP="00781C68">
      <w:pPr>
        <w:spacing w:after="0" w:line="240" w:lineRule="auto"/>
      </w:pPr>
      <w:r>
        <w:separator/>
      </w:r>
    </w:p>
  </w:endnote>
  <w:endnote w:type="continuationSeparator" w:id="0">
    <w:p w14:paraId="63F8850F" w14:textId="77777777" w:rsidR="00615909" w:rsidRDefault="00615909" w:rsidP="00781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48DA" w14:textId="73172BCC" w:rsidR="0038651A" w:rsidRDefault="0038651A" w:rsidP="0038651A">
    <w:pPr>
      <w:pStyle w:val="Footer"/>
    </w:pPr>
    <w:r>
      <w:tab/>
    </w:r>
    <w:r>
      <w:tab/>
    </w:r>
    <w:sdt>
      <w:sdtPr>
        <w:id w:val="-133128320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769A5">
          <w:rPr>
            <w:noProof/>
          </w:rPr>
          <w:t>4</w:t>
        </w:r>
        <w:r>
          <w:rPr>
            <w:noProof/>
          </w:rPr>
          <w:fldChar w:fldCharType="end"/>
        </w:r>
      </w:sdtContent>
    </w:sdt>
  </w:p>
  <w:p w14:paraId="000EAEDA" w14:textId="77777777" w:rsidR="0038651A" w:rsidRDefault="00386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769B7" w14:textId="77777777" w:rsidR="00615909" w:rsidRDefault="00615909" w:rsidP="00781C68">
      <w:pPr>
        <w:spacing w:after="0" w:line="240" w:lineRule="auto"/>
      </w:pPr>
      <w:r>
        <w:separator/>
      </w:r>
    </w:p>
  </w:footnote>
  <w:footnote w:type="continuationSeparator" w:id="0">
    <w:p w14:paraId="3DB199F6" w14:textId="77777777" w:rsidR="00615909" w:rsidRDefault="00615909" w:rsidP="00781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84F98" w14:textId="116D256A" w:rsidR="00781C68" w:rsidRPr="00781C68" w:rsidRDefault="00781C68" w:rsidP="00781C68">
    <w:pPr>
      <w:pStyle w:val="Header"/>
      <w:jc w:val="right"/>
      <w:rPr>
        <w:b/>
        <w:color w:val="2E74B5" w:themeColor="accent1" w:themeShade="BF"/>
      </w:rPr>
    </w:pPr>
    <w:r>
      <w:rPr>
        <w:b/>
        <w:color w:val="2E74B5" w:themeColor="accent1" w:themeShade="BF"/>
      </w:rPr>
      <w:t>NHS Education for Scotland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77282"/>
    <w:multiLevelType w:val="hybridMultilevel"/>
    <w:tmpl w:val="8A24EDBC"/>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 w15:restartNumberingAfterBreak="0">
    <w:nsid w:val="2A3D334B"/>
    <w:multiLevelType w:val="hybridMultilevel"/>
    <w:tmpl w:val="EC529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277FDE"/>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9531E11"/>
    <w:multiLevelType w:val="hybridMultilevel"/>
    <w:tmpl w:val="0E0E6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70F4B04"/>
    <w:rsid w:val="00111F71"/>
    <w:rsid w:val="001F0738"/>
    <w:rsid w:val="0038651A"/>
    <w:rsid w:val="00492880"/>
    <w:rsid w:val="004C7FB3"/>
    <w:rsid w:val="005D1089"/>
    <w:rsid w:val="00615909"/>
    <w:rsid w:val="006264D5"/>
    <w:rsid w:val="006A3E23"/>
    <w:rsid w:val="00781C68"/>
    <w:rsid w:val="007D2AEB"/>
    <w:rsid w:val="007E14DA"/>
    <w:rsid w:val="0081524B"/>
    <w:rsid w:val="00834E2B"/>
    <w:rsid w:val="00837994"/>
    <w:rsid w:val="008769A5"/>
    <w:rsid w:val="00983D2D"/>
    <w:rsid w:val="009A354C"/>
    <w:rsid w:val="009D2A5A"/>
    <w:rsid w:val="00A14B31"/>
    <w:rsid w:val="00A4645B"/>
    <w:rsid w:val="00A95D54"/>
    <w:rsid w:val="00A97972"/>
    <w:rsid w:val="00C33FCD"/>
    <w:rsid w:val="00CF4AE5"/>
    <w:rsid w:val="00D25363"/>
    <w:rsid w:val="00D6315F"/>
    <w:rsid w:val="00D64C12"/>
    <w:rsid w:val="00E3225D"/>
    <w:rsid w:val="00EC4EA0"/>
    <w:rsid w:val="00EF4360"/>
    <w:rsid w:val="00F67601"/>
    <w:rsid w:val="00FB546A"/>
    <w:rsid w:val="270F4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910D9C"/>
  <w15:chartTrackingRefBased/>
  <w15:docId w15:val="{94F5EC1C-BFBE-4A0D-B013-2650A0D4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C68"/>
  </w:style>
  <w:style w:type="paragraph" w:styleId="Footer">
    <w:name w:val="footer"/>
    <w:basedOn w:val="Normal"/>
    <w:link w:val="FooterChar"/>
    <w:uiPriority w:val="99"/>
    <w:unhideWhenUsed/>
    <w:rsid w:val="00781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C68"/>
  </w:style>
  <w:style w:type="table" w:styleId="TableGrid">
    <w:name w:val="Table Grid"/>
    <w:basedOn w:val="TableNormal"/>
    <w:uiPriority w:val="59"/>
    <w:rsid w:val="00781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45B"/>
    <w:pPr>
      <w:ind w:left="720"/>
      <w:contextualSpacing/>
    </w:pPr>
  </w:style>
  <w:style w:type="paragraph" w:styleId="BalloonText">
    <w:name w:val="Balloon Text"/>
    <w:basedOn w:val="Normal"/>
    <w:link w:val="BalloonTextChar"/>
    <w:uiPriority w:val="99"/>
    <w:semiHidden/>
    <w:unhideWhenUsed/>
    <w:rsid w:val="00FB5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1" Type="http://schemas.openxmlformats.org/officeDocument/2006/relationships/header" Target="header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16ac32b6-d060-42fb-93c0-6c46742e1aee" ContentTypeId="0x010100540009AA9B7AD14AB7CB3A6FC98C51F8"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E9EC05-A684-46E1-A64B-3D66A388FB60}">
  <ds:schemaRefs>
    <ds:schemaRef ds:uri="Microsoft.SharePoint.Taxonomy.ContentTypeSync"/>
  </ds:schemaRefs>
</ds:datastoreItem>
</file>

<file path=customXml/itemProps2.xml><?xml version="1.0" encoding="utf-8"?>
<ds:datastoreItem xmlns:ds="http://schemas.openxmlformats.org/officeDocument/2006/customXml" ds:itemID="{55E0602C-4528-4591-ACEE-A910214CD423}"/>
</file>

<file path=customXml/itemProps3.xml><?xml version="1.0" encoding="utf-8"?>
<ds:datastoreItem xmlns:ds="http://schemas.openxmlformats.org/officeDocument/2006/customXml" ds:itemID="{201B9BF5-7894-4B04-91AD-7E225AEBA389}">
  <ds:schemaRefs>
    <ds:schemaRef ds:uri="http://www.w3.org/XML/1998/namespace"/>
    <ds:schemaRef ds:uri="http://schemas.microsoft.com/sharepoint/v3"/>
    <ds:schemaRef ds:uri="9369f9cd-7934-46f9-83f8-0ab2aa6125c5"/>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34A436F8-79AF-4CAB-80E9-CB936D32DA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Solar</dc:creator>
  <cp:keywords/>
  <dc:description/>
  <cp:lastModifiedBy>Helen McIntosh</cp:lastModifiedBy>
  <cp:revision>4</cp:revision>
  <cp:lastPrinted>2017-06-02T11:13:00Z</cp:lastPrinted>
  <dcterms:created xsi:type="dcterms:W3CDTF">2017-06-02T16:25:00Z</dcterms:created>
  <dcterms:modified xsi:type="dcterms:W3CDTF">2017-06-02T16:35:00Z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y fmtid="{D5CDD505-2E9C-101B-9397-08002B2CF9AE}" pid="3" name="Order">
    <vt:r8>19829500</vt:r8>
  </property>
  <property fmtid="{D5CDD505-2E9C-101B-9397-08002B2CF9AE}" pid="4" name="_CopySource">
    <vt:lpwstr>https://scottish.sharepoint.com/sites/4nes/Shared Documents/SPDS/Central/confirmed minutes/Diagnostics/2017/confirmed minutes - 2017.01.31.docx</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